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360" w:lineRule="auto"/>
        <w:ind w:left="0" w:right="0"/>
        <w:jc w:val="both"/>
        <w:rPr>
          <w:rFonts w:hint="eastAsia" w:ascii="仿宋_GB2312" w:hAnsi="宋体" w:eastAsia="仿宋_GB2312" w:cs="宋体"/>
          <w:kern w:val="0"/>
          <w:sz w:val="28"/>
          <w:szCs w:val="28"/>
          <w:lang w:val="en-US"/>
        </w:rPr>
      </w:pPr>
      <w:r>
        <w:rPr>
          <w:rFonts w:hint="eastAsia" w:ascii="仿宋_GB2312" w:hAnsi="宋体" w:eastAsia="仿宋_GB2312" w:cs="宋体"/>
          <w:b/>
          <w:bCs w:val="0"/>
          <w:kern w:val="0"/>
          <w:sz w:val="28"/>
          <w:szCs w:val="28"/>
          <w:lang w:val="en-US" w:eastAsia="zh-CN" w:bidi="ar"/>
        </w:rPr>
        <w:t>附：中国科学院物理研究所简介</w:t>
      </w:r>
      <w:bookmarkStart w:id="0" w:name="_GoBack"/>
      <w:bookmarkEnd w:id="0"/>
    </w:p>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_GB2312" w:hAnsi="Times New Roman" w:eastAsia="仿宋_GB2312" w:cs="Times New Roman"/>
          <w:color w:val="000000"/>
          <w:kern w:val="0"/>
          <w:sz w:val="28"/>
          <w:szCs w:val="28"/>
          <w:lang w:val="en-US"/>
        </w:rPr>
      </w:pPr>
      <w:r>
        <w:rPr>
          <w:rFonts w:hint="eastAsia" w:ascii="仿宋_GB2312" w:hAnsi="Times New Roman" w:eastAsia="仿宋_GB2312" w:cs="Times New Roman"/>
          <w:color w:val="000000"/>
          <w:kern w:val="0"/>
          <w:sz w:val="28"/>
          <w:szCs w:val="28"/>
          <w:lang w:val="en-US" w:eastAsia="zh-CN" w:bidi="ar"/>
        </w:rPr>
        <w:t>　　中国科学院物理研究所（以下简称“物理所”）前身是成立于1928年的国立中央研究院物理研究所和成立于1929年的北平研究院物理学研究所，1950年在两所合并的基础上成立了中国科学院应用物理研究所，1958年更名为中国科学院物理研究所。</w:t>
      </w:r>
    </w:p>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_GB2312" w:hAnsi="Times New Roman" w:eastAsia="仿宋_GB2312" w:cs="Times New Roman"/>
          <w:color w:val="000000"/>
          <w:kern w:val="0"/>
          <w:sz w:val="28"/>
          <w:szCs w:val="28"/>
          <w:lang w:val="en-US"/>
        </w:rPr>
      </w:pPr>
      <w:r>
        <w:rPr>
          <w:rFonts w:hint="eastAsia" w:ascii="仿宋_GB2312" w:hAnsi="Times New Roman" w:eastAsia="仿宋_GB2312" w:cs="Times New Roman"/>
          <w:color w:val="000000"/>
          <w:kern w:val="0"/>
          <w:sz w:val="28"/>
          <w:szCs w:val="28"/>
          <w:lang w:val="en-US" w:eastAsia="zh-CN" w:bidi="ar"/>
        </w:rPr>
        <w:t>　　物理所是以物理学基础研究与应用基础研究为主的多学科、综合性研究机构。研究方向以凝聚态物理为主，包括凝聚态物理、光学、原子分子物理、等离子体物理、软物质与生物物理、理论和计算物理、材料科学与工程等。超导、拓扑、纳米、表面、极端条件等多个学科走在了世界科技最前沿；磁学、光学、先进材料、清洁能源等诸多领域为国民经济发展提供了有力支撑。除了聚焦基础前沿问题，扎根中关村科研攻关外，物理所积极响应国家科技战略布局，投入北京科创中心怀柔科学城（综合条件实验装置、材料基因组研究平台和清洁能源材料测试诊断与研发平台）、粤港澳大湾区科创中心松山湖材料实验室以及长三角物理研究中心的建设。作为“国家队”“国家人”，心系“国家事”、肩扛“国家责”，全所上下凝心聚力，踔厉奋发，为国民经济发展和科技强国作出了积极贡献。</w:t>
      </w:r>
    </w:p>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_GB2312" w:hAnsi="Times New Roman" w:eastAsia="仿宋_GB2312" w:cs="Times New Roman"/>
          <w:color w:val="000000"/>
          <w:kern w:val="0"/>
          <w:sz w:val="28"/>
          <w:szCs w:val="28"/>
          <w:lang w:val="en-US"/>
        </w:rPr>
      </w:pPr>
      <w:r>
        <w:rPr>
          <w:rFonts w:hint="eastAsia" w:ascii="仿宋_GB2312" w:hAnsi="Times New Roman" w:eastAsia="仿宋_GB2312" w:cs="Times New Roman"/>
          <w:color w:val="000000"/>
          <w:kern w:val="0"/>
          <w:sz w:val="28"/>
          <w:szCs w:val="28"/>
          <w:lang w:val="en-US" w:eastAsia="zh-CN" w:bidi="ar"/>
        </w:rPr>
        <w:t>　　物理所现有超导、磁学、表面物理、光物理、先进材料与结构分析、纳米物理与器件、极端条件物理、清洁能源、凝聚态理论与计算、软物质与生物物理、固态量子信息与计算、怀柔研究部12个实验室；它们与国际量子结构中心、凝聚态物质科学数据中心、北京散裂中子源靶站谱仪工程中心、清洁能源中心、超导技术应用中心、功能晶体研究与应用中心、量子计算研究中心、应用物理中心构成了物理所的研究体系。技术部及各实验室、各研究组的公共技术平台共同构成全所的技术支撑体系。此外，物理所还是北京物质科学与纳米技术大型仪器区域中心、中科院电镜技术联盟的牵头单位，北京量子信息科学研究院的共建单位。</w:t>
      </w:r>
    </w:p>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_GB2312" w:hAnsi="Times New Roman" w:eastAsia="仿宋_GB2312" w:cs="Times New Roman"/>
          <w:color w:val="000000"/>
          <w:kern w:val="0"/>
          <w:sz w:val="28"/>
          <w:szCs w:val="28"/>
          <w:lang w:val="en-US"/>
        </w:rPr>
      </w:pPr>
      <w:r>
        <w:rPr>
          <w:rFonts w:hint="eastAsia" w:ascii="仿宋_GB2312" w:hAnsi="Times New Roman" w:eastAsia="仿宋_GB2312" w:cs="Times New Roman"/>
          <w:color w:val="000000"/>
          <w:kern w:val="0"/>
          <w:sz w:val="28"/>
          <w:szCs w:val="28"/>
          <w:lang w:val="en-US" w:eastAsia="zh-CN" w:bidi="ar"/>
        </w:rPr>
        <w:t>　　截至2022年底，在物理所工作和学习过的院士专家共有80余人。目前在所工作的中国科学院院士13人、中国工程院院士1人、发展中国家科学院院士7人。</w:t>
      </w:r>
    </w:p>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_GB2312" w:hAnsi="Times New Roman" w:eastAsia="仿宋_GB2312" w:cs="Times New Roman"/>
          <w:color w:val="000000"/>
          <w:kern w:val="0"/>
          <w:sz w:val="28"/>
          <w:szCs w:val="28"/>
          <w:lang w:val="en-US"/>
        </w:rPr>
      </w:pPr>
      <w:r>
        <w:rPr>
          <w:rFonts w:hint="eastAsia" w:ascii="仿宋_GB2312" w:hAnsi="Times New Roman" w:eastAsia="仿宋_GB2312" w:cs="Times New Roman"/>
          <w:color w:val="000000"/>
          <w:kern w:val="0"/>
          <w:sz w:val="28"/>
          <w:szCs w:val="28"/>
          <w:lang w:val="en-US" w:eastAsia="zh-CN" w:bidi="ar"/>
        </w:rPr>
        <w:t>　　物理所是1981年国务院学位委员会批准的首批物理学博士、硕士学位授予单位之一。现设有物理学、材料科学与工程等2个专业一级学科博士研究生培养点，光电信息工程、材料工程等2个专业学位硕士研究生培养点，并设有物理学和材料科学与工程2个专业一级学科博士后流动站。</w:t>
      </w:r>
    </w:p>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_GB2312" w:hAnsi="Times New Roman" w:eastAsia="仿宋_GB2312" w:cs="Times New Roman"/>
          <w:color w:val="000000"/>
          <w:kern w:val="0"/>
          <w:sz w:val="28"/>
          <w:szCs w:val="28"/>
          <w:lang w:val="en-US"/>
        </w:rPr>
      </w:pPr>
      <w:r>
        <w:rPr>
          <w:rFonts w:hint="eastAsia" w:ascii="仿宋_GB2312" w:hAnsi="Times New Roman" w:eastAsia="仿宋_GB2312" w:cs="Times New Roman"/>
          <w:color w:val="000000"/>
          <w:kern w:val="0"/>
          <w:sz w:val="28"/>
          <w:szCs w:val="28"/>
          <w:lang w:val="en-US" w:eastAsia="zh-CN" w:bidi="ar"/>
        </w:rPr>
        <w:t>　　2022年，物理所继续发挥科研优势，积极争取并承担科技部重点研发计划，基金委国家杰出青年科学基金、创新群体、国家重大科研仪器研制项目和中科院先导专项等重大科研任务。同时，加强与地方的合作研究，促进成果转化。</w:t>
      </w:r>
    </w:p>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_GB2312" w:hAnsi="Times New Roman" w:eastAsia="仿宋_GB2312" w:cs="Times New Roman"/>
          <w:color w:val="000000"/>
          <w:kern w:val="0"/>
          <w:sz w:val="28"/>
          <w:szCs w:val="28"/>
          <w:lang w:val="en-US"/>
        </w:rPr>
      </w:pPr>
      <w:r>
        <w:rPr>
          <w:rFonts w:hint="eastAsia" w:ascii="仿宋_GB2312" w:hAnsi="Times New Roman" w:eastAsia="仿宋_GB2312" w:cs="Times New Roman"/>
          <w:color w:val="000000"/>
          <w:kern w:val="0"/>
          <w:sz w:val="28"/>
          <w:szCs w:val="28"/>
          <w:lang w:val="en-US" w:eastAsia="zh-CN" w:bidi="ar"/>
        </w:rPr>
        <w:t>　　2022年，物理所深耕各研究领域，取得了多项有国际影响力的重要科研成果。如，利用自主设计的分子束外延－极低温矢量磁场扫描隧道显微镜/谱联合系统，在铁基超导体LiFeAs中实现了大面积、高度有序和可调控的“马约拉纳零能模（MZM）‘格点阵列’”；利用独特的高通量制备与表征技术获得了奇异金属散射（线性电阻斜率A1）与高温超导转变温度（Tc）之间的普适物理规律（A10.5~Tc）；对月壤（CE5C0400）中主要矿物铁橄榄石、辉石和长石进行了系统的表面微结构表征，首次在月球土壤中发现了分层的边缘微结构和其中包裹的氧化亚铁纳米晶体；搭建了Quafu量子计算云平台，软硬件等达到国际先进水平；研制出拓扑腔面发射激光器，得到远超同类商用产品的性能指标；成功自主研发了顶部插杆式氦3制冷机，实现了265mK的最低温度，并在300mK获得了200W的制冷功率；等等。</w:t>
      </w:r>
    </w:p>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_GB2312" w:hAnsi="Times New Roman" w:eastAsia="仿宋_GB2312" w:cs="Times New Roman"/>
          <w:color w:val="000000"/>
          <w:kern w:val="0"/>
          <w:sz w:val="28"/>
          <w:szCs w:val="28"/>
          <w:lang w:val="en-US"/>
        </w:rPr>
      </w:pPr>
      <w:r>
        <w:rPr>
          <w:rFonts w:hint="eastAsia" w:ascii="仿宋_GB2312" w:hAnsi="Times New Roman" w:eastAsia="仿宋_GB2312" w:cs="Times New Roman"/>
          <w:color w:val="000000"/>
          <w:kern w:val="0"/>
          <w:sz w:val="28"/>
          <w:szCs w:val="28"/>
          <w:lang w:val="en-US" w:eastAsia="zh-CN" w:bidi="ar"/>
        </w:rPr>
        <w:t>　　2022年，物理所多个研究团队及科研人员荣获各类奖项及荣誉。杨国桢、赵忠贤荣获首批中国物理学会终身贡献奖；陈辉被授予2021-2022年度中国物理学会胡刚复物理奖（实验技术）；胡勇胜研究团队、孙力玲研究团队相关项目分别荣获2021年度北京市自然科学奖一等奖、二等奖；赵怀周研究团队项目荣获发明创业奖成果奖；金魁荣获2021年度中国科学院青年科学家奖；翁红明荣获2022年“科学探索奖”；J. M. D. Coey教授荣获中国科学院2022年度国际科技合作奖，物理所为推荐单位。</w:t>
      </w:r>
    </w:p>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_GB2312" w:hAnsi="Times New Roman" w:eastAsia="仿宋_GB2312" w:cs="Times New Roman"/>
          <w:color w:val="000000"/>
          <w:kern w:val="0"/>
          <w:sz w:val="28"/>
          <w:szCs w:val="28"/>
          <w:lang w:val="en-US"/>
        </w:rPr>
      </w:pPr>
      <w:r>
        <w:rPr>
          <w:rFonts w:hint="eastAsia" w:ascii="仿宋_GB2312" w:hAnsi="Times New Roman" w:eastAsia="仿宋_GB2312" w:cs="Times New Roman"/>
          <w:color w:val="000000"/>
          <w:kern w:val="0"/>
          <w:sz w:val="28"/>
          <w:szCs w:val="28"/>
          <w:lang w:val="en-US" w:eastAsia="zh-CN" w:bidi="ar"/>
        </w:rPr>
        <w:t>　　根据中国科学技术信息研究所关于中国科技论文统计结果，2021年度，物理所发表第一署名单位的SCI收录论文数478篇；近十年来（2012-2021）被SCI收录的论文累计被引用篇数4471篇，被引用次数137705次。</w:t>
      </w:r>
    </w:p>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_GB2312" w:hAnsi="Times New Roman" w:eastAsia="仿宋_GB2312" w:cs="Times New Roman"/>
          <w:color w:val="000000"/>
          <w:kern w:val="0"/>
          <w:sz w:val="28"/>
          <w:szCs w:val="28"/>
          <w:lang w:val="en-US"/>
        </w:rPr>
      </w:pPr>
      <w:r>
        <w:rPr>
          <w:rFonts w:hint="eastAsia" w:ascii="仿宋_GB2312" w:hAnsi="Times New Roman" w:eastAsia="仿宋_GB2312" w:cs="Times New Roman"/>
          <w:color w:val="000000"/>
          <w:kern w:val="0"/>
          <w:sz w:val="28"/>
          <w:szCs w:val="28"/>
          <w:lang w:val="en-US" w:eastAsia="zh-CN" w:bidi="ar"/>
        </w:rPr>
        <w:t>　　物理所现有控股、参股公司10家，其中科技型企业共9家，技术转移与成果辐射的省、市地区集中在北京和江苏。2022年，物理所下设企业吸引多家社会资本投资，在锂电池、钠电池、碳化硅、钕铁硼等多个领域引导国内产业发展。研究所作为技术支持方，获得了社会机构的高度认可。天科合达形成了拥有自主知识产权并覆盖碳化硅衬底全生产流程的六大核心技术体系；北京卫蓝在2022布局开发了超长续航动力电池和超高安全储能电池，并进行了深度战略布局；天目先导在2022年启动100亩溧阳基地建设；北京中科海钠在2022年聚焦核心钠离子电池正负极材料升级迭代，优化核心电解液体系，并对电池产品实现了能量密度，循环寿命的显著提升。</w:t>
      </w:r>
    </w:p>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_GB2312" w:hAnsi="Times New Roman" w:eastAsia="仿宋_GB2312" w:cs="Times New Roman"/>
          <w:color w:val="000000"/>
          <w:kern w:val="0"/>
          <w:sz w:val="28"/>
          <w:szCs w:val="28"/>
          <w:lang w:val="en-US"/>
        </w:rPr>
      </w:pPr>
      <w:r>
        <w:rPr>
          <w:rFonts w:hint="eastAsia" w:ascii="仿宋_GB2312" w:hAnsi="Times New Roman" w:eastAsia="仿宋_GB2312" w:cs="Times New Roman"/>
          <w:color w:val="000000"/>
          <w:kern w:val="0"/>
          <w:sz w:val="28"/>
          <w:szCs w:val="28"/>
          <w:lang w:val="en-US" w:eastAsia="zh-CN" w:bidi="ar"/>
        </w:rPr>
        <w:t>　　物理所积极参与国际合作，2022年主持多项重点国际合作项目，与美国、英国、法国、日本、以色列、俄罗斯等国家保持着良好的科研合作关系。积极稳妥推进恢复线下国际交流，同时积极开展线上国际交流活动。组织首届物理所－德国洪堡大学线上博士后论坛，持续推进双方联合培养博士后计划。</w:t>
      </w:r>
    </w:p>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_GB2312" w:hAnsi="Times New Roman" w:eastAsia="仿宋_GB2312" w:cs="Times New Roman"/>
          <w:color w:val="000000"/>
          <w:kern w:val="0"/>
          <w:sz w:val="28"/>
          <w:szCs w:val="28"/>
          <w:lang w:val="en-US"/>
        </w:rPr>
      </w:pPr>
      <w:r>
        <w:rPr>
          <w:rFonts w:hint="eastAsia" w:ascii="仿宋_GB2312" w:hAnsi="Times New Roman" w:eastAsia="仿宋_GB2312" w:cs="Times New Roman"/>
          <w:color w:val="000000"/>
          <w:kern w:val="0"/>
          <w:sz w:val="28"/>
          <w:szCs w:val="28"/>
          <w:lang w:val="en-US" w:eastAsia="zh-CN" w:bidi="ar"/>
        </w:rPr>
        <w:t>　　物理所是中国物理学会的挂靠单位，承办有中文期刊《物理》《物理学报》，英文期刊Chinese Physics Letters、Chinese Physics B。四刊各具特色，服务科研事业，助力学术交流。</w:t>
      </w:r>
    </w:p>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_GB2312" w:hAnsi="宋体" w:eastAsia="仿宋_GB2312" w:cs="宋体"/>
          <w:kern w:val="0"/>
          <w:sz w:val="28"/>
          <w:szCs w:val="28"/>
          <w:lang w:val="en-US"/>
        </w:rPr>
      </w:pPr>
      <w:r>
        <w:rPr>
          <w:rFonts w:hint="eastAsia" w:ascii="仿宋_GB2312" w:hAnsi="Times New Roman" w:eastAsia="仿宋_GB2312" w:cs="Times New Roman"/>
          <w:color w:val="000000"/>
          <w:kern w:val="0"/>
          <w:sz w:val="28"/>
          <w:szCs w:val="28"/>
          <w:lang w:val="en-US" w:eastAsia="zh-CN" w:bidi="ar"/>
        </w:rPr>
        <w:t>　　物理所在深耕基础研究、产出科研成果的同时，坚持在科学知识普及、科学活动举办、科学文化凝练、科学精神传承方面，认真探索，推陈出新，获得了积极的社会反响，承担了赋予的社会责任，为科学传播面向公众，提高全民科学素质作出了自己的贡献。</w:t>
      </w:r>
    </w:p>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 w:name="@仿宋_GB2312">
    <w:panose1 w:val="02010609030101010101"/>
    <w:charset w:val="86"/>
    <w:family w:val="auto"/>
    <w:pitch w:val="fixed"/>
    <w:sig w:usb0="00000001" w:usb1="080E0000" w:usb2="00000000" w:usb3="00000000" w:csb0="00040000" w:csb1="00000000"/>
  </w:font>
  <w:font w:name="仿宋_GB2312">
    <w:panose1 w:val="02010609030101010101"/>
    <w:charset w:val="86"/>
    <w:family w:val="auto"/>
    <w:pitch w:val="fixed"/>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1NmU1NDY1ODY2MjE0MWIzOGM3Y2UyMTBhMGUwNzIifQ=="/>
  </w:docVars>
  <w:rsids>
    <w:rsidRoot w:val="607154EE"/>
    <w:rsid w:val="60715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2023-11-22T09:11:00Z</dcterms:created>
  <dc:creator>徐述腾</dc:creator>
  <cp:lastModifiedBy>徐述腾</cp:lastModifiedBy>
  <dcterms:modified xsi:type="dcterms:W3CDTF">2023-11-22T09:12:24Z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A37C5737357342FAA6B1BA0F0779F4C5_11</vt:lpwstr>
  </property>
</Properties>
</file>