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46F7F">
      <w:pPr>
        <w:jc w:val="left"/>
        <w:rPr>
          <w:rFonts w:hint="default" w:ascii="方正小标宋简体" w:eastAsia="方正小标宋简体"/>
          <w:sz w:val="36"/>
          <w:szCs w:val="36"/>
        </w:rPr>
      </w:pPr>
      <w:r>
        <w:rPr>
          <w:rFonts w:hint="default" w:ascii="方正小标宋简体" w:eastAsia="方正小标宋简体"/>
          <w:sz w:val="36"/>
          <w:szCs w:val="36"/>
        </w:rPr>
        <w:t xml:space="preserve">附件1： </w:t>
      </w:r>
    </w:p>
    <w:p w14:paraId="6D13C1C7">
      <w:pPr>
        <w:jc w:val="left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5A3CDDC8">
      <w:pPr>
        <w:snapToGrid w:val="0"/>
        <w:spacing w:line="560" w:lineRule="exact"/>
        <w:jc w:val="center"/>
        <w:rPr>
          <w:rFonts w:hint="default" w:ascii="方正小标宋简体" w:hAnsi="宋体" w:eastAsia="方正小标宋简体"/>
          <w:sz w:val="40"/>
          <w:szCs w:val="40"/>
        </w:rPr>
      </w:pPr>
      <w:r>
        <w:rPr>
          <w:rFonts w:hint="default" w:ascii="方正小标宋简体" w:hAnsi="宋体" w:eastAsia="方正小标宋简体"/>
          <w:sz w:val="40"/>
          <w:szCs w:val="40"/>
        </w:rPr>
        <w:t>本科教务系统选课操作指南（学生使用）</w:t>
      </w:r>
    </w:p>
    <w:p w14:paraId="52CDF908">
      <w:pPr>
        <w:snapToGrid w:val="0"/>
        <w:spacing w:line="560" w:lineRule="exact"/>
        <w:jc w:val="center"/>
        <w:rPr>
          <w:rFonts w:hint="default" w:ascii="方正小标宋简体" w:hAnsi="宋体" w:eastAsia="方正小标宋简体"/>
          <w:sz w:val="40"/>
          <w:szCs w:val="40"/>
        </w:rPr>
      </w:pPr>
    </w:p>
    <w:p w14:paraId="2B17142D">
      <w:pPr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目</w:t>
      </w:r>
      <w:r>
        <w:rPr>
          <w:rFonts w:hint="eastAsia" w:ascii="宋体" w:hAnsi="宋体"/>
          <w:b/>
          <w:bCs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sz w:val="36"/>
          <w:szCs w:val="36"/>
        </w:rPr>
        <w:t>录</w:t>
      </w:r>
    </w:p>
    <w:p w14:paraId="755632CC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Style w:val="23"/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Style w:val="23"/>
          <w:rFonts w:hint="default" w:ascii="Times New Roman" w:hAnsi="Times New Roman" w:eastAsia="仿宋_GB2312" w:cs="Times New Roman"/>
          <w:sz w:val="28"/>
          <w:szCs w:val="28"/>
        </w:rPr>
        <w:instrText xml:space="preserve"> TOC \o "1-3" \h \z \u </w:instrText>
      </w:r>
      <w:r>
        <w:rPr>
          <w:rStyle w:val="23"/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_Toc7526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1. 登录系统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_Toc7526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</w:p>
    <w:p w14:paraId="75FD38E0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_Toc12945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2. 选课、退课操作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_Toc12945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7237965C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_Toc21002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3. 可选课程预览</w:t>
      </w:r>
      <w:r>
        <w:rPr>
          <w:rFonts w:hint="default" w:ascii="Times New Roman" w:hAnsi="Times New Roman" w:cs="Times New Roman"/>
          <w:sz w:val="28"/>
          <w:szCs w:val="28"/>
        </w:rPr>
        <w:tab/>
      </w:r>
      <w:bookmarkStart w:id="13" w:name="_GoBack"/>
      <w:bookmarkEnd w:id="13"/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_Toc21002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19DD6536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_Toc5346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4. 查看已选课程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_Toc5346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4AB7BC3E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_Toc28162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5. 跨专业课程选课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_Toc28162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1E0AA8CD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_Toc11610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6. 研究生课程选课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_Toc11610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6E4EA49D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_Toc16412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7. 辅修课程选课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_Toc16412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09065D3B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_Toc17064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8. 体育课程选课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_Toc17064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334577EB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_Toc17146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9. 公共艺术课程查询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_Toc17146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75CE5483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_Toc16593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10. </w:t>
      </w:r>
      <w:r>
        <w:rPr>
          <w:rFonts w:hint="default" w:ascii="Times New Roman" w:hAnsi="Times New Roman" w:cs="Times New Roman"/>
          <w:sz w:val="28"/>
          <w:szCs w:val="28"/>
        </w:rPr>
        <w:t>校区特色通识课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查询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_Toc16593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10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1D74143F">
      <w:pPr>
        <w:pStyle w:val="18"/>
        <w:tabs>
          <w:tab w:val="right" w:leader="dot" w:pos="9638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instrText xml:space="preserve"> HYPERLINK \l _Toc18130 </w:instrTex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11. 设置两级制课程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_Toc18130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5F585020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fldChar w:fldCharType="end"/>
      </w:r>
    </w:p>
    <w:p w14:paraId="5C4D35AF">
      <w:pPr>
        <w:jc w:val="center"/>
        <w:rPr>
          <w:rFonts w:hint="default" w:ascii="Times New Roman" w:hAnsi="Times New Roman" w:cs="Times New Roman"/>
          <w:b/>
          <w:sz w:val="24"/>
        </w:rPr>
      </w:pPr>
    </w:p>
    <w:p w14:paraId="2ABB2391">
      <w:pPr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797BC004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0" w:name="_Toc7526"/>
      <w:r>
        <w:rPr>
          <w:rFonts w:hint="default" w:ascii="Times New Roman" w:hAnsi="Times New Roman" w:cs="Times New Roman"/>
          <w:sz w:val="30"/>
          <w:szCs w:val="30"/>
        </w:rPr>
        <w:t>1. 登录系统</w:t>
      </w:r>
      <w:bookmarkEnd w:id="0"/>
    </w:p>
    <w:p w14:paraId="40844362">
      <w:pPr>
        <w:adjustRightInd w:val="0"/>
        <w:snapToGrid w:val="0"/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使用本人的NetID帐号登录本科教务系统。</w:t>
      </w:r>
    </w:p>
    <w:p w14:paraId="4DAC010A">
      <w:pPr>
        <w:adjustRightInd w:val="0"/>
        <w:snapToGrid w:val="0"/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登陆网址：本科教务系统 https://jwxt.sysu.edu.cn。</w:t>
      </w:r>
    </w:p>
    <w:p w14:paraId="21655F4C">
      <w:pPr>
        <w:adjustRightInd w:val="0"/>
        <w:snapToGrid w:val="0"/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重要提醒：如用他人或公用电脑进行选课时，若浏览器已打开请务必先关闭所有浏览器（IE、FireFox、Google Chrome、Safari等），然后重新打开浏览器登录本科教务系统进行选课。</w:t>
      </w:r>
    </w:p>
    <w:p w14:paraId="37152A06">
      <w:pPr>
        <w:adjustRightInd w:val="0"/>
        <w:snapToGrid w:val="0"/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如果忘记了密码，不能成功登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录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，请使用NetID登录页面的“忘记密码”功能链接来找回密码，或致电网络与信息中心帮助台020-84036866。</w:t>
      </w:r>
    </w:p>
    <w:p w14:paraId="66685C6B">
      <w:pPr>
        <w:widowControl/>
        <w:jc w:val="center"/>
        <w:rPr>
          <w:rFonts w:hint="default" w:ascii="Times New Roman" w:hAnsi="Times New Roman" w:cs="Times New Roman"/>
          <w:kern w:val="0"/>
          <w:sz w:val="24"/>
        </w:rPr>
      </w:pPr>
      <w:r>
        <w:drawing>
          <wp:inline distT="0" distB="0" distL="114300" distR="114300">
            <wp:extent cx="5262880" cy="2622550"/>
            <wp:effectExtent l="0" t="0" r="13970" b="635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4E9B">
      <w:pPr>
        <w:ind w:firstLine="700" w:firstLineChars="25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点击“选课”图标进入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选课页面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 w14:paraId="0C255283">
      <w:pPr>
        <w:widowControl/>
        <w:ind w:left="424" w:leftChars="202"/>
        <w:jc w:val="center"/>
        <w:rPr>
          <w:rFonts w:hint="default" w:ascii="Times New Roman" w:hAnsi="Times New Roman" w:cs="Times New Roman"/>
          <w:kern w:val="0"/>
          <w:sz w:val="24"/>
        </w:rPr>
      </w:pPr>
      <w:r>
        <w:drawing>
          <wp:inline distT="0" distB="0" distL="114300" distR="114300">
            <wp:extent cx="5268595" cy="2679700"/>
            <wp:effectExtent l="0" t="0" r="8255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D098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1" w:name="_Toc12945"/>
      <w:r>
        <w:rPr>
          <w:rFonts w:hint="default" w:ascii="Times New Roman" w:hAnsi="Times New Roman" w:cs="Times New Roman"/>
          <w:sz w:val="30"/>
          <w:szCs w:val="30"/>
        </w:rPr>
        <w:t>2. 选课、退课操作</w:t>
      </w:r>
      <w:bookmarkEnd w:id="1"/>
    </w:p>
    <w:p w14:paraId="42B6EB31">
      <w:pPr>
        <w:spacing w:line="480" w:lineRule="exact"/>
        <w:ind w:left="360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在选课阶段的时间范围内，登录后页面显示“选课”、“可选课程预览”、“已选课程”、“我的收藏”、“历史已选课程”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菜单。</w:t>
      </w:r>
    </w:p>
    <w:p w14:paraId="5B1DA989">
      <w:pPr>
        <w:spacing w:line="480" w:lineRule="exact"/>
        <w:ind w:left="360" w:firstLine="560" w:firstLineChars="200"/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选课类型分</w:t>
      </w:r>
      <w:r>
        <w:rPr>
          <w:rFonts w:eastAsia="仿宋_GB2312"/>
          <w:sz w:val="28"/>
          <w:szCs w:val="28"/>
        </w:rPr>
        <w:t>为</w:t>
      </w:r>
      <w:r>
        <w:rPr>
          <w:rFonts w:eastAsia="仿宋_GB2312"/>
          <w:b/>
          <w:color w:val="0000FF"/>
          <w:sz w:val="28"/>
          <w:szCs w:val="28"/>
        </w:rPr>
        <w:t>“本专业”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“校级公选”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“跨专业”</w:t>
      </w:r>
      <w:r>
        <w:rPr>
          <w:rFonts w:eastAsia="仿宋_GB2312"/>
          <w:sz w:val="28"/>
          <w:szCs w:val="28"/>
        </w:rPr>
        <w:t>三种。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可分别点击三种课程类型选择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专必、专选、公必（体育）、公必（大英）、公必（其他）、公选</w:t>
      </w:r>
      <w:r>
        <w:rPr>
          <w:rFonts w:hint="eastAsia" w:eastAsia="仿宋_GB2312" w:cs="Times New Roman"/>
          <w:b/>
          <w:color w:val="0000FF"/>
          <w:sz w:val="28"/>
          <w:szCs w:val="28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进行选课，思想政治理论课程在公必（其他）页签下选课。</w:t>
      </w:r>
    </w:p>
    <w:p w14:paraId="1C69384A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color w:val="FF0000"/>
          <w:sz w:val="28"/>
          <w:szCs w:val="28"/>
        </w:rPr>
      </w:pPr>
      <w:r>
        <w:rPr>
          <w:rFonts w:eastAsia="仿宋_GB2312"/>
          <w:b/>
          <w:color w:val="0000FF"/>
          <w:sz w:val="28"/>
          <w:szCs w:val="28"/>
        </w:rPr>
        <w:t>若要修</w:t>
      </w:r>
      <w:r>
        <w:rPr>
          <w:rFonts w:hint="eastAsia" w:eastAsia="仿宋_GB2312"/>
          <w:b/>
          <w:color w:val="0000FF"/>
          <w:sz w:val="28"/>
          <w:szCs w:val="28"/>
        </w:rPr>
        <w:t>读</w:t>
      </w:r>
      <w:r>
        <w:rPr>
          <w:rFonts w:eastAsia="仿宋_GB2312"/>
          <w:b/>
          <w:color w:val="0000FF"/>
          <w:sz w:val="28"/>
          <w:szCs w:val="28"/>
        </w:rPr>
        <w:t>某门课程，点击课程对应的“选课”</w:t>
      </w:r>
      <w:r>
        <w:rPr>
          <w:rFonts w:hint="eastAsia" w:eastAsia="仿宋_GB2312"/>
          <w:b/>
          <w:color w:val="0000FF"/>
          <w:sz w:val="28"/>
          <w:szCs w:val="28"/>
        </w:rPr>
        <w:t>按钮</w:t>
      </w:r>
      <w:r>
        <w:rPr>
          <w:rFonts w:eastAsia="仿宋_GB2312"/>
          <w:b/>
          <w:color w:val="0000FF"/>
          <w:sz w:val="28"/>
          <w:szCs w:val="28"/>
        </w:rPr>
        <w:t>，若要退课，点击课程对应的“退课”</w:t>
      </w:r>
      <w:r>
        <w:rPr>
          <w:rFonts w:hint="eastAsia" w:eastAsia="仿宋_GB2312"/>
          <w:b/>
          <w:color w:val="0000FF"/>
          <w:sz w:val="28"/>
          <w:szCs w:val="28"/>
        </w:rPr>
        <w:t>按钮</w:t>
      </w:r>
      <w:r>
        <w:rPr>
          <w:rFonts w:eastAsia="仿宋_GB2312"/>
          <w:b/>
          <w:color w:val="0000FF"/>
          <w:sz w:val="28"/>
          <w:szCs w:val="28"/>
        </w:rPr>
        <w:t>。</w:t>
      </w:r>
    </w:p>
    <w:p w14:paraId="0252BF2C">
      <w:pPr>
        <w:widowControl/>
        <w:ind w:firstLine="360" w:firstLineChars="150"/>
        <w:jc w:val="center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drawing>
          <wp:inline distT="0" distB="0" distL="0" distR="0">
            <wp:extent cx="5461000" cy="2127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353" cy="2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448B0">
      <w:pPr>
        <w:widowControl/>
        <w:ind w:firstLine="360" w:firstLineChars="150"/>
        <w:jc w:val="center"/>
        <w:rPr>
          <w:rFonts w:hint="default" w:ascii="Times New Roman" w:hAnsi="Times New Roman" w:cs="Times New Roman"/>
          <w:kern w:val="0"/>
          <w:sz w:val="24"/>
        </w:rPr>
      </w:pPr>
    </w:p>
    <w:p w14:paraId="462DDF12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2" w:name="_Toc21002"/>
      <w:r>
        <w:rPr>
          <w:rFonts w:hint="default" w:ascii="Times New Roman" w:hAnsi="Times New Roman" w:cs="Times New Roman"/>
          <w:sz w:val="30"/>
          <w:szCs w:val="30"/>
        </w:rPr>
        <w:t>3. 可选课程预览</w:t>
      </w:r>
      <w:bookmarkEnd w:id="2"/>
    </w:p>
    <w:p w14:paraId="2D7B065D">
      <w:pPr>
        <w:spacing w:line="480" w:lineRule="exact"/>
        <w:ind w:left="420" w:leftChars="200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在选课系统登录后的首页，点击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“可选课程预览”菜单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，其类别分为：本专业、校级公选、跨专业。在选课开始前，学生就能查看该选课学期的全校可选课程，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点击</w:t>
      </w:r>
      <w:r>
        <w:rPr>
          <w:rFonts w:hint="default" w:ascii="Times New Roman" w:hAnsi="Times New Roman" w:eastAsia="仿宋_GB2312" w:cs="Times New Roman"/>
          <w:sz w:val="28"/>
          <w:szCs w:val="28"/>
        </w:rPr>
        <w:drawing>
          <wp:inline distT="0" distB="0" distL="0" distR="0">
            <wp:extent cx="194945" cy="169545"/>
            <wp:effectExtent l="0" t="0" r="14605" b="19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28"/>
          <w:szCs w:val="28"/>
        </w:rPr>
        <w:t>收藏心仪课程，并在我的收藏中显示。点击“我的收藏”菜单，可查看已收藏的教学班。</w:t>
      </w:r>
    </w:p>
    <w:p w14:paraId="4B320438">
      <w:pPr>
        <w:jc w:val="center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drawing>
          <wp:inline distT="0" distB="0" distL="0" distR="0">
            <wp:extent cx="5637530" cy="21539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16" cy="2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B814">
      <w:pPr>
        <w:jc w:val="center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drawing>
          <wp:inline distT="0" distB="0" distL="0" distR="0">
            <wp:extent cx="5345430" cy="22555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223" cy="226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1E8FE">
      <w:pPr>
        <w:jc w:val="center"/>
        <w:rPr>
          <w:rFonts w:hint="default" w:ascii="Times New Roman" w:hAnsi="Times New Roman" w:cs="Times New Roman"/>
          <w:kern w:val="0"/>
          <w:szCs w:val="21"/>
        </w:rPr>
      </w:pPr>
    </w:p>
    <w:p w14:paraId="1D16869A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3" w:name="_Toc5346"/>
      <w:r>
        <w:rPr>
          <w:rFonts w:hint="default" w:ascii="Times New Roman" w:hAnsi="Times New Roman" w:cs="Times New Roman"/>
          <w:sz w:val="30"/>
          <w:szCs w:val="30"/>
        </w:rPr>
        <w:t>4. 查看已选课程</w:t>
      </w:r>
      <w:bookmarkEnd w:id="3"/>
    </w:p>
    <w:p w14:paraId="1192F326">
      <w:pPr>
        <w:spacing w:line="480" w:lineRule="exact"/>
        <w:ind w:left="424" w:leftChars="202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在选课系统登录后的首页，点击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“已选课程”菜单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进入学生个人已选课程页面。这里列出了本人所选的课程。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选课状态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中的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“待筛选”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表示选了该门课程，但需要经过筛选才能确认是否选上（筛选后的状态：成功/失败）。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“成功”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代表筛选通过，已经选上课程；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“失败”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代表筛选未通过，需要及时改选其他课程。</w:t>
      </w:r>
    </w:p>
    <w:p w14:paraId="33464BD0">
      <w:pPr>
        <w:spacing w:line="480" w:lineRule="exact"/>
        <w:ind w:left="424" w:leftChars="202" w:firstLine="562" w:firstLineChars="200"/>
        <w:rPr>
          <w:rFonts w:hint="default" w:ascii="Times New Roman" w:hAnsi="Times New Roman" w:eastAsia="仿宋_GB2312" w:cs="Times New Roman"/>
          <w:b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color w:val="FF0000"/>
          <w:sz w:val="28"/>
          <w:szCs w:val="28"/>
          <w:lang w:val="en-US" w:eastAsia="zh-CN"/>
        </w:rPr>
        <w:t>注意：</w:t>
      </w:r>
      <w:r>
        <w:rPr>
          <w:rFonts w:hint="eastAsia" w:eastAsia="仿宋_GB2312" w:cs="Times New Roman"/>
          <w:b/>
          <w:bCs w:val="0"/>
          <w:color w:val="FF0000"/>
          <w:sz w:val="28"/>
          <w:szCs w:val="28"/>
          <w:lang w:val="en-US" w:eastAsia="zh-CN"/>
        </w:rPr>
        <w:t>个人已选课程中的“大学英语（预安排）”课程仅用于明确外语课程上课时段，以免选课时间冲突。具体外语课程名称及上课安排以英语分级考试后的安排结果为准，请学生留意个人选课结果。</w:t>
      </w:r>
    </w:p>
    <w:p w14:paraId="122E1A03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459730" cy="2487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41" cy="24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93A25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4" w:name="_Toc28162"/>
      <w:r>
        <w:rPr>
          <w:rFonts w:hint="default" w:ascii="Times New Roman" w:hAnsi="Times New Roman" w:cs="Times New Roman"/>
          <w:sz w:val="30"/>
          <w:szCs w:val="30"/>
        </w:rPr>
        <w:t>5. 跨专业课程选课</w:t>
      </w:r>
      <w:bookmarkEnd w:id="4"/>
    </w:p>
    <w:p w14:paraId="670F41F7">
      <w:pPr>
        <w:spacing w:line="480" w:lineRule="exact"/>
        <w:ind w:left="420" w:leftChars="200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点击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“跨专业”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选课标签，首先会弹出选课的相关提醒事项，点击关闭后，即可查看所有开放跨专业选修名额的课程，点击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“选课”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，即可参加筛选或成功抢选。</w:t>
      </w:r>
    </w:p>
    <w:p w14:paraId="5646585C">
      <w:pPr>
        <w:ind w:left="420" w:left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503545" cy="2006600"/>
            <wp:effectExtent l="0" t="0" r="0" b="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6342" cy="2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91DC6">
      <w:pPr>
        <w:ind w:left="420" w:leftChars="200"/>
        <w:rPr>
          <w:rFonts w:hint="default" w:ascii="Times New Roman" w:hAnsi="Times New Roman" w:cs="Times New Roman"/>
        </w:rPr>
      </w:pPr>
    </w:p>
    <w:p w14:paraId="1B789D39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5" w:name="_Toc11610"/>
      <w:r>
        <w:rPr>
          <w:rFonts w:hint="default" w:ascii="Times New Roman" w:hAnsi="Times New Roman" w:cs="Times New Roman"/>
          <w:sz w:val="30"/>
          <w:szCs w:val="30"/>
        </w:rPr>
        <w:t>6. 研究生课程选课</w:t>
      </w:r>
      <w:bookmarkEnd w:id="5"/>
    </w:p>
    <w:p w14:paraId="1CFA328F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部分研究生课程于选课第三、第四阶段面向三年级及以上本科生开放。学生可在教务系统选课菜单下</w:t>
      </w:r>
      <w:r>
        <w:rPr>
          <w:rFonts w:hint="eastAsia" w:eastAsia="仿宋_GB2312" w:cs="Times New Roman"/>
          <w:b/>
          <w:color w:val="0000FF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研究生课程</w:t>
      </w:r>
      <w:r>
        <w:rPr>
          <w:rFonts w:hint="eastAsia" w:eastAsia="仿宋_GB2312" w:cs="Times New Roman"/>
          <w:b/>
          <w:color w:val="0000FF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页面进行选课。研究生课程分为培养方案内课程和其他课程。本科生修读研究生课程的，课程修读和考核、成绩记录等事项按研究生院相关规定执行。</w:t>
      </w:r>
    </w:p>
    <w:p w14:paraId="748924F3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6.1培养方案内课程</w:t>
      </w:r>
    </w:p>
    <w:p w14:paraId="4EDF564B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专业培养方案内的研究生课程，一经选上，课程类别按培养方案记录。</w:t>
      </w:r>
    </w:p>
    <w:p w14:paraId="792EAAA8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选课：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在规定时间内，学生在选课界面中点击【选课】则立即选课成功，如图：</w:t>
      </w:r>
    </w:p>
    <w:p w14:paraId="65FD03E7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586095" cy="2933700"/>
            <wp:effectExtent l="19050" t="19050" r="14605" b="19050"/>
            <wp:docPr id="9" name="图片 9" descr="f9ba751559adf440edd5d18caf9c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9ba751559adf440edd5d18caf9cb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6095" cy="2933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CE6BFA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退课：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在规定时间内，学生可以对选中的课程进行退课处理，点击【退课】弹出提示：确认退课？点击【确定】则退课成功，点击【取消】则为取消退课操作。如图：</w:t>
      </w:r>
    </w:p>
    <w:p w14:paraId="08A4DE0F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3515" cy="1726565"/>
            <wp:effectExtent l="0" t="0" r="19685" b="63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E169F2">
      <w:pPr>
        <w:rPr>
          <w:rFonts w:hint="default" w:ascii="Times New Roman" w:hAnsi="Times New Roman" w:cs="Times New Roman"/>
          <w:b/>
        </w:rPr>
      </w:pPr>
    </w:p>
    <w:p w14:paraId="0469C9A7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6.2其他课程</w:t>
      </w:r>
    </w:p>
    <w:p w14:paraId="1DF790AE">
      <w:pPr>
        <w:shd w:val="clear" w:color="auto" w:fill="FFFFFF"/>
        <w:adjustRightInd w:val="0"/>
        <w:snapToGrid w:val="0"/>
        <w:spacing w:line="560" w:lineRule="exact"/>
        <w:ind w:firstLine="562" w:firstLineChars="200"/>
        <w:contextualSpacing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申请：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对于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其他研究生课程，在规定时间内，由学生点击申请，经学生所在院系审核认定、研究生课程开课单位审批，审批通过才显示选课成功。课程类别由学生所在院系根据培养方案的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课程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要求，审核认定为“公选”、“专选”或“荣誉课程”。如图：</w:t>
      </w:r>
    </w:p>
    <w:p w14:paraId="2320C0C9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144780</wp:posOffset>
            </wp:positionV>
            <wp:extent cx="5274310" cy="2670175"/>
            <wp:effectExtent l="19050" t="19050" r="21590" b="15875"/>
            <wp:wrapTight wrapText="bothSides">
              <wp:wrapPolygon>
                <wp:start x="-78" y="-154"/>
                <wp:lineTo x="-78" y="21574"/>
                <wp:lineTo x="21610" y="21574"/>
                <wp:lineTo x="21610" y="-154"/>
                <wp:lineTo x="-78" y="-154"/>
              </wp:wrapPolygon>
            </wp:wrapTight>
            <wp:docPr id="15" name="图片 15" descr="C:\Users\zheng\AppData\Local\Temp\WeChat Files\438d83e998f6e7dc104bb55c954e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zheng\AppData\Local\Temp\WeChat Files\438d83e998f6e7dc104bb55c954eac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C401681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取消申请：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课程申请在未最终审批通过时，学生可取消申请。审批通过后则不予退课，成绩将如实记录无法删除，请慎重选课。</w:t>
      </w:r>
    </w:p>
    <w:p w14:paraId="24D8FCE7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6.3已选课程菜单</w:t>
      </w:r>
    </w:p>
    <w:p w14:paraId="04F3F992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若选课成功或审核通过，课程状态则显示成功；若审核中，则显示待审批；若退课，则显示已退课；若在审核过程中取消申请，则显示已退课。如图：</w:t>
      </w:r>
    </w:p>
    <w:p w14:paraId="179404BE">
      <w:pPr>
        <w:ind w:firstLine="315" w:firstLineChars="15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2245" cy="1972310"/>
            <wp:effectExtent l="0" t="0" r="0" b="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608" cy="197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D32726">
      <w:pPr>
        <w:ind w:firstLine="315" w:firstLineChars="150"/>
        <w:jc w:val="center"/>
        <w:rPr>
          <w:rFonts w:hint="default" w:ascii="Times New Roman" w:hAnsi="Times New Roman" w:cs="Times New Roman"/>
        </w:rPr>
      </w:pPr>
    </w:p>
    <w:p w14:paraId="1D565F11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6" w:name="_Toc16412"/>
      <w:r>
        <w:rPr>
          <w:rFonts w:hint="default" w:ascii="Times New Roman" w:hAnsi="Times New Roman" w:cs="Times New Roman"/>
          <w:sz w:val="30"/>
          <w:szCs w:val="30"/>
        </w:rPr>
        <w:t>7. 辅修课程选课</w:t>
      </w:r>
      <w:bookmarkEnd w:id="6"/>
    </w:p>
    <w:p w14:paraId="416758AA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选课入口：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登录教务系统，在更多服务中点击“辅修选课”图标，即可进入辅修选课相关界面。如图：</w:t>
      </w:r>
    </w:p>
    <w:p w14:paraId="4A1BB22C">
      <w:pPr>
        <w:ind w:firstLine="422" w:firstLineChars="200"/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drawing>
          <wp:inline distT="0" distB="0" distL="114300" distR="114300">
            <wp:extent cx="4498975" cy="2036445"/>
            <wp:effectExtent l="0" t="0" r="0" b="0"/>
            <wp:docPr id="4" name="图片 4" descr="无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29070" cy="205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050F4">
      <w:pPr>
        <w:spacing w:line="480" w:lineRule="exact"/>
        <w:ind w:firstLine="562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选课/退课：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选课开始前，学生可对辅修课程进行收藏或取消收藏，选课开始后，学生可对已收藏的课程进行选课，或在“辅修课程选课”页面进行选课和退课。如图：</w:t>
      </w:r>
    </w:p>
    <w:p w14:paraId="4884C171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624705" cy="2616835"/>
            <wp:effectExtent l="0" t="0" r="4445" b="12065"/>
            <wp:docPr id="19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4514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4625CD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7" w:name="_Toc17064"/>
      <w:r>
        <w:rPr>
          <w:rFonts w:hint="default" w:ascii="Times New Roman" w:hAnsi="Times New Roman" w:cs="Times New Roman"/>
          <w:sz w:val="30"/>
          <w:szCs w:val="30"/>
        </w:rPr>
        <w:t>8.</w:t>
      </w:r>
      <w:bookmarkStart w:id="8" w:name="_Toc523733944"/>
      <w:r>
        <w:rPr>
          <w:rFonts w:hint="default" w:ascii="Times New Roman" w:hAnsi="Times New Roman" w:cs="Times New Roman"/>
          <w:sz w:val="30"/>
          <w:szCs w:val="30"/>
        </w:rPr>
        <w:t xml:space="preserve"> 体育课程选课</w:t>
      </w:r>
      <w:bookmarkEnd w:id="7"/>
      <w:bookmarkEnd w:id="8"/>
    </w:p>
    <w:p w14:paraId="018169DC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登录后的首页面显示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“选课”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菜单中选择类型为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本专业，类别为：公必（体育</w:t>
      </w:r>
      <w:r>
        <w:rPr>
          <w:rFonts w:hint="default" w:ascii="Times New Roman" w:hAnsi="Times New Roman" w:eastAsia="仿宋_GB2312" w:cs="Times New Roman"/>
          <w:color w:val="0000FF"/>
          <w:sz w:val="28"/>
          <w:szCs w:val="28"/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的页签，进入体育选课，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体育选课在选课第一、二阶段时，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选课方式为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志愿选课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。每位学生最多可以填报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4</w:t>
      </w:r>
      <w:r>
        <w:rPr>
          <w:rFonts w:hint="default" w:ascii="Times New Roman" w:hAnsi="Times New Roman" w:eastAsia="仿宋_GB2312" w:cs="Times New Roman"/>
          <w:color w:val="0000FF"/>
          <w:sz w:val="28"/>
          <w:szCs w:val="28"/>
        </w:rPr>
        <w:t>个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志愿（即最多可选4门课程</w:t>
      </w:r>
      <w:r>
        <w:rPr>
          <w:rFonts w:hint="eastAsia" w:eastAsia="仿宋_GB2312" w:cs="Times New Roman"/>
          <w:color w:val="000000" w:themeColor="text1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志愿顺序可通过点击课程名称对应的</w:t>
      </w:r>
      <w:r>
        <w:rPr>
          <w:rFonts w:hint="default" w:ascii="Times New Roman" w:hAnsi="Times New Roman" w:eastAsia="仿宋_GB2312" w:cs="Times New Roman"/>
          <w:b/>
          <w:color w:val="1624FF"/>
          <w:sz w:val="28"/>
          <w:szCs w:val="28"/>
        </w:rPr>
        <w:t>“↑↓”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图标或</w:t>
      </w:r>
      <w:r>
        <w:rPr>
          <w:rFonts w:hint="default" w:ascii="Times New Roman" w:hAnsi="Times New Roman" w:eastAsia="仿宋_GB2312" w:cs="Times New Roman"/>
          <w:b/>
          <w:color w:val="1624FF"/>
          <w:sz w:val="28"/>
          <w:szCs w:val="28"/>
        </w:rPr>
        <w:t>拖动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课程调整，调整志愿顺序后</w:t>
      </w:r>
      <w:r>
        <w:rPr>
          <w:rFonts w:hint="default" w:ascii="Times New Roman" w:hAnsi="Times New Roman" w:eastAsia="仿宋_GB2312" w:cs="Times New Roman"/>
          <w:b/>
          <w:color w:val="1624FF"/>
          <w:sz w:val="28"/>
          <w:szCs w:val="28"/>
        </w:rPr>
        <w:t>务必点击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“保存志愿”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按钮提交调整后的志愿），系统通过筛选选出其中</w:t>
      </w:r>
      <w:r>
        <w:rPr>
          <w:rFonts w:hint="default" w:ascii="Times New Roman" w:hAnsi="Times New Roman" w:eastAsia="仿宋_GB2312" w:cs="Times New Roman"/>
          <w:b/>
          <w:bCs/>
          <w:color w:val="0000FF"/>
          <w:sz w:val="28"/>
          <w:szCs w:val="28"/>
        </w:rPr>
        <w:t>1个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志愿，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若学生填报的4个志愿均未选上，则需补改选课程。</w:t>
      </w:r>
    </w:p>
    <w:p w14:paraId="43A13A50">
      <w:pPr>
        <w:spacing w:line="480" w:lineRule="exact"/>
        <w:ind w:firstLine="560" w:firstLineChars="200"/>
        <w:rPr>
          <w:rFonts w:hint="eastAsia" w:ascii="Times New Roman" w:hAnsi="Times New Roman" w:eastAsia="仿宋_GB2312" w:cs="Times New Roman"/>
          <w:b/>
          <w:color w:val="0000FF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</w:rPr>
        <w:t>体育课程选课须留意“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eastAsia="zh-CN"/>
        </w:rPr>
        <w:t>体育课程安排及选课说明”</w:t>
      </w:r>
      <w:r>
        <w:rPr>
          <w:rFonts w:hint="eastAsia" w:eastAsia="仿宋_GB2312" w:cs="Times New Roman"/>
          <w:color w:val="000000" w:themeColor="text1"/>
          <w:sz w:val="28"/>
          <w:szCs w:val="28"/>
          <w:lang w:eastAsia="zh-CN"/>
        </w:rPr>
        <w:t>。</w:t>
      </w:r>
    </w:p>
    <w:p w14:paraId="6099CBA5">
      <w:pPr>
        <w:spacing w:line="0" w:lineRule="atLeast"/>
        <w:jc w:val="center"/>
        <w:rPr>
          <w:rFonts w:hint="default" w:ascii="Times New Roman" w:hAnsi="Times New Roman" w:cs="Times New Roman"/>
          <w:b/>
          <w:color w:val="0000FF"/>
          <w:u w:val="single"/>
        </w:rPr>
      </w:pPr>
      <w:r>
        <w:rPr>
          <w:rFonts w:hint="default" w:ascii="Times New Roman" w:hAnsi="Times New Roman" w:cs="Times New Roman"/>
          <w:b/>
          <w:color w:val="0000FF"/>
          <w:u w:val="single"/>
        </w:rPr>
        <w:drawing>
          <wp:inline distT="0" distB="0" distL="0" distR="0">
            <wp:extent cx="5866765" cy="16135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94243" cy="16211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7224A">
      <w:pPr>
        <w:spacing w:line="0" w:lineRule="atLeast"/>
        <w:jc w:val="center"/>
        <w:rPr>
          <w:rFonts w:hint="default" w:ascii="Times New Roman" w:hAnsi="Times New Roman" w:cs="Times New Roman"/>
          <w:b/>
          <w:color w:val="000000" w:themeColor="text1"/>
        </w:rPr>
      </w:pPr>
      <w:r>
        <w:rPr>
          <w:rFonts w:hint="default" w:ascii="Times New Roman" w:hAnsi="Times New Roman" w:cs="Times New Roman"/>
          <w:color w:val="000000" w:themeColor="text1"/>
        </w:rPr>
        <w:drawing>
          <wp:inline distT="0" distB="0" distL="0" distR="0">
            <wp:extent cx="5805170" cy="1790065"/>
            <wp:effectExtent l="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60649" cy="1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DE9F">
      <w:pPr>
        <w:spacing w:line="0" w:lineRule="atLeast"/>
        <w:jc w:val="center"/>
        <w:rPr>
          <w:rFonts w:hint="default" w:ascii="Times New Roman" w:hAnsi="Times New Roman" w:cs="Times New Roman"/>
          <w:b/>
          <w:color w:val="000000" w:themeColor="text1"/>
        </w:rPr>
      </w:pPr>
    </w:p>
    <w:p w14:paraId="1F5259A3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cs="Times New Roman"/>
          <w:sz w:val="30"/>
          <w:szCs w:val="30"/>
        </w:rPr>
      </w:pPr>
      <w:bookmarkStart w:id="9" w:name="_Toc17146"/>
      <w:r>
        <w:rPr>
          <w:rFonts w:hint="default" w:ascii="Times New Roman" w:hAnsi="Times New Roman" w:cs="Times New Roman"/>
          <w:sz w:val="30"/>
          <w:szCs w:val="30"/>
        </w:rPr>
        <w:t>9. 公共艺术课程查询</w:t>
      </w:r>
      <w:bookmarkEnd w:id="9"/>
    </w:p>
    <w:p w14:paraId="07FC2409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</w:rPr>
        <w:t>此类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课程名称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</w:rPr>
        <w:t>后带有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 xml:space="preserve">“公共艺术课程”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标签</w:t>
      </w:r>
      <w:r>
        <w:rPr>
          <w:rFonts w:hint="eastAsia" w:eastAsia="仿宋_GB2312" w:cs="Times New Roman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</w:rPr>
        <w:t>属于培养方案要求须修读的艺术与审美课程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。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</w:rPr>
        <w:t>对于2026级及之后年级的学生，培养方案要求必须修读2学分公共艺术课程，所选的公共艺术课程，其课程类别为“公必”。</w:t>
      </w:r>
    </w:p>
    <w:p w14:paraId="754B1560">
      <w:pPr>
        <w:widowControl/>
        <w:jc w:val="center"/>
        <w:rPr>
          <w:rFonts w:hint="default" w:ascii="Times New Roman" w:hAnsi="Times New Roman" w:cs="Times New Roman"/>
          <w:kern w:val="0"/>
          <w:sz w:val="24"/>
        </w:rPr>
      </w:pPr>
      <w:r>
        <w:drawing>
          <wp:inline distT="0" distB="0" distL="114300" distR="114300">
            <wp:extent cx="4215765" cy="3645535"/>
            <wp:effectExtent l="0" t="0" r="13335" b="1206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1576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60BD4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若需查询本次选课的全部公共艺术课程，可在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“校级公选</w:t>
      </w:r>
      <w:r>
        <w:rPr>
          <w:rFonts w:hint="default" w:ascii="Times New Roman" w:hAnsi="Times New Roman" w:eastAsia="仿宋_GB2312" w:cs="Times New Roman"/>
          <w:b/>
          <w:color w:val="4472C4" w:themeColor="accent1"/>
          <w:sz w:val="28"/>
          <w:szCs w:val="28"/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页签下点击</w:t>
      </w:r>
      <w:r>
        <w:rPr>
          <w:rFonts w:hint="default" w:ascii="Times New Roman" w:hAnsi="Times New Roman" w:eastAsia="仿宋_GB2312" w:cs="Times New Roman"/>
          <w:b/>
          <w:color w:val="4472C4" w:themeColor="accent1"/>
          <w:sz w:val="28"/>
          <w:szCs w:val="28"/>
        </w:rPr>
        <w:t>“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高级查询”</w:t>
      </w:r>
      <w:r>
        <w:rPr>
          <w:rFonts w:hint="eastAsia" w:eastAsia="仿宋_GB2312" w:cs="Times New Roman"/>
          <w:color w:val="000000" w:themeColor="text1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在特色课程类型选择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“公共艺术课程”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查询。</w:t>
      </w:r>
    </w:p>
    <w:p w14:paraId="2CDB2F4B">
      <w:pPr>
        <w:spacing w:line="0" w:lineRule="atLeast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14415" cy="2056765"/>
            <wp:effectExtent l="0" t="0" r="635" b="635"/>
            <wp:docPr id="2" name="图片 2" descr="c542c22976cfddce78ebb6c23973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542c22976cfddce78ebb6c23973032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57038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以往学期已选的</w:t>
      </w:r>
      <w:r>
        <w:rPr>
          <w:rFonts w:hint="eastAsia" w:eastAsia="仿宋_GB2312"/>
          <w:color w:val="000000" w:themeColor="text1"/>
          <w:sz w:val="28"/>
          <w:szCs w:val="28"/>
        </w:rPr>
        <w:t>公共艺术课程</w:t>
      </w:r>
      <w:r>
        <w:rPr>
          <w:rFonts w:eastAsia="仿宋_GB2312"/>
          <w:color w:val="000000" w:themeColor="text1"/>
          <w:sz w:val="28"/>
          <w:szCs w:val="28"/>
        </w:rPr>
        <w:t>可</w:t>
      </w:r>
      <w:r>
        <w:rPr>
          <w:rFonts w:hint="eastAsia" w:eastAsia="仿宋_GB2312"/>
          <w:color w:val="000000" w:themeColor="text1"/>
          <w:sz w:val="28"/>
          <w:szCs w:val="28"/>
        </w:rPr>
        <w:t>在</w:t>
      </w:r>
      <w:r>
        <w:rPr>
          <w:rFonts w:eastAsia="仿宋_GB2312"/>
          <w:b/>
          <w:color w:val="0000FF"/>
          <w:sz w:val="28"/>
          <w:szCs w:val="28"/>
        </w:rPr>
        <w:t>“历史已选课程”</w:t>
      </w:r>
      <w:r>
        <w:rPr>
          <w:rFonts w:hint="eastAsia" w:eastAsia="仿宋_GB2312"/>
          <w:color w:val="000000" w:themeColor="text1"/>
          <w:sz w:val="28"/>
          <w:szCs w:val="28"/>
        </w:rPr>
        <w:t>页签查询，路径：历史已选课程--筛选条件“特色课程类型”栏选“公共艺术课程”后点击查询，查询出来的课程即是公共艺术课程</w:t>
      </w:r>
      <w:r>
        <w:rPr>
          <w:rFonts w:eastAsia="仿宋_GB2312"/>
          <w:color w:val="000000" w:themeColor="text1"/>
          <w:sz w:val="28"/>
          <w:szCs w:val="28"/>
        </w:rPr>
        <w:t>。</w:t>
      </w:r>
    </w:p>
    <w:p w14:paraId="5067DE65">
      <w:pPr>
        <w:spacing w:line="240" w:lineRule="auto"/>
        <w:jc w:val="center"/>
        <w:rPr>
          <w:rFonts w:hint="eastAsia" w:eastAsia="仿宋_GB2312"/>
          <w:color w:val="000000" w:themeColor="text1"/>
          <w:sz w:val="28"/>
          <w:szCs w:val="28"/>
          <w:lang w:eastAsia="zh-CN"/>
        </w:rPr>
      </w:pPr>
      <w:r>
        <w:rPr>
          <w:rFonts w:hint="eastAsia" w:eastAsia="仿宋_GB2312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6119495" cy="1773555"/>
            <wp:effectExtent l="0" t="0" r="14605" b="17145"/>
            <wp:docPr id="30" name="图片 30" descr="7ef6b238df6db65e91f7e0b6d8287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7ef6b238df6db65e91f7e0b6d82876c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BF61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default" w:ascii="Times New Roman" w:hAnsi="Times New Roman" w:eastAsia="微软雅黑" w:cs="Times New Roman"/>
          <w:sz w:val="30"/>
          <w:szCs w:val="30"/>
          <w:lang w:val="en-US" w:eastAsia="zh-CN"/>
        </w:rPr>
      </w:pPr>
      <w:bookmarkStart w:id="10" w:name="_Toc16593"/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 xml:space="preserve">10. </w:t>
      </w:r>
      <w:r>
        <w:rPr>
          <w:rFonts w:hint="default" w:ascii="Times New Roman" w:hAnsi="Times New Roman" w:cs="Times New Roman"/>
          <w:sz w:val="30"/>
          <w:szCs w:val="30"/>
        </w:rPr>
        <w:t>校区特色通识课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查询</w:t>
      </w:r>
      <w:bookmarkEnd w:id="10"/>
    </w:p>
    <w:p w14:paraId="543DDACC">
      <w:pPr>
        <w:spacing w:line="480" w:lineRule="exact"/>
        <w:ind w:firstLine="560" w:firstLineChars="200"/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  <w:t>此类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</w:rPr>
        <w:t>课程名称</w:t>
      </w: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  <w:t>后带有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  <w:highlight w:val="none"/>
        </w:rPr>
        <w:t xml:space="preserve">“校区特色通识课”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</w:rPr>
        <w:t>标签</w:t>
      </w: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eastAsia="zh-CN"/>
        </w:rPr>
        <w:t>。</w:t>
      </w: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  <w:t>对于2026级及之后年级的学生</w:t>
      </w: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  <w:t>培养方案要求必须修读2学分校区特色通识课，所选的校区特色通识课，其课程类别为“公选”。</w:t>
      </w:r>
    </w:p>
    <w:p w14:paraId="38D3A7C5">
      <w:pPr>
        <w:spacing w:line="240" w:lineRule="auto"/>
        <w:jc w:val="center"/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</w:rPr>
        <w:drawing>
          <wp:inline distT="0" distB="0" distL="114300" distR="114300">
            <wp:extent cx="4072890" cy="4431030"/>
            <wp:effectExtent l="0" t="0" r="3810" b="7620"/>
            <wp:docPr id="20" name="图片 20" descr="校区特色通识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校区特色通识课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289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1F550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若需查询本次选课的全部校区特色通识课，可在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“校级公选</w:t>
      </w:r>
      <w:r>
        <w:rPr>
          <w:rFonts w:hint="default" w:ascii="Times New Roman" w:hAnsi="Times New Roman" w:eastAsia="仿宋_GB2312" w:cs="Times New Roman"/>
          <w:b/>
          <w:color w:val="4472C4" w:themeColor="accent1"/>
          <w:sz w:val="28"/>
          <w:szCs w:val="28"/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页签下点击</w:t>
      </w:r>
      <w:r>
        <w:rPr>
          <w:rFonts w:hint="default" w:ascii="Times New Roman" w:hAnsi="Times New Roman" w:eastAsia="仿宋_GB2312" w:cs="Times New Roman"/>
          <w:b/>
          <w:color w:val="4472C4" w:themeColor="accent1"/>
          <w:sz w:val="28"/>
          <w:szCs w:val="28"/>
        </w:rPr>
        <w:t>“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高级查询”</w:t>
      </w:r>
      <w:r>
        <w:rPr>
          <w:rFonts w:hint="eastAsia" w:eastAsia="仿宋_GB2312" w:cs="Times New Roman"/>
          <w:color w:val="000000" w:themeColor="text1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在特色课程类型选择</w:t>
      </w:r>
      <w:r>
        <w:rPr>
          <w:rFonts w:hint="default" w:ascii="Times New Roman" w:hAnsi="Times New Roman" w:eastAsia="仿宋_GB2312" w:cs="Times New Roman"/>
          <w:b/>
          <w:color w:val="0000FF"/>
          <w:sz w:val="28"/>
          <w:szCs w:val="28"/>
        </w:rPr>
        <w:t>“校区特色通识课”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查询。</w:t>
      </w:r>
    </w:p>
    <w:p w14:paraId="331EAFA9">
      <w:pPr>
        <w:spacing w:line="240" w:lineRule="auto"/>
        <w:jc w:val="center"/>
        <w:rPr>
          <w:rFonts w:hint="eastAsia" w:eastAsia="宋体" w:cs="Times New Roman"/>
          <w:color w:val="000000" w:themeColor="text1"/>
          <w:sz w:val="28"/>
          <w:szCs w:val="28"/>
          <w:lang w:val="en-US" w:eastAsia="zh-CN"/>
        </w:rPr>
      </w:pPr>
      <w:r>
        <w:rPr>
          <w:rFonts w:hint="eastAsia" w:eastAsia="宋体" w:cs="Times New Roman"/>
          <w:color w:val="000000" w:themeColor="text1"/>
          <w:sz w:val="28"/>
          <w:szCs w:val="28"/>
          <w:lang w:val="en-US" w:eastAsia="zh-CN"/>
        </w:rPr>
        <w:drawing>
          <wp:inline distT="0" distB="0" distL="114300" distR="114300">
            <wp:extent cx="6104890" cy="2072640"/>
            <wp:effectExtent l="0" t="0" r="10160" b="3810"/>
            <wp:docPr id="27" name="图片 2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3BC8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以往学期已选的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</w:rPr>
        <w:t>校区特色通识课</w:t>
      </w:r>
      <w:r>
        <w:rPr>
          <w:rFonts w:eastAsia="仿宋_GB2312"/>
          <w:color w:val="000000" w:themeColor="text1"/>
          <w:sz w:val="28"/>
          <w:szCs w:val="28"/>
        </w:rPr>
        <w:t>可</w:t>
      </w:r>
      <w:r>
        <w:rPr>
          <w:rFonts w:hint="eastAsia" w:eastAsia="仿宋_GB2312"/>
          <w:color w:val="000000" w:themeColor="text1"/>
          <w:sz w:val="28"/>
          <w:szCs w:val="28"/>
        </w:rPr>
        <w:t>在</w:t>
      </w:r>
      <w:r>
        <w:rPr>
          <w:rFonts w:eastAsia="仿宋_GB2312"/>
          <w:b/>
          <w:color w:val="0000FF"/>
          <w:sz w:val="28"/>
          <w:szCs w:val="28"/>
        </w:rPr>
        <w:t>“历史已选课程”</w:t>
      </w:r>
      <w:r>
        <w:rPr>
          <w:rFonts w:hint="eastAsia" w:eastAsia="仿宋_GB2312"/>
          <w:color w:val="000000" w:themeColor="text1"/>
          <w:sz w:val="28"/>
          <w:szCs w:val="28"/>
        </w:rPr>
        <w:t>页签查询，路径：历史已选课程--筛选条件“特色课程类型”栏选“校区特色通识课”后点击查询，查询出来的课程即是校区特色通识课</w:t>
      </w:r>
      <w:r>
        <w:rPr>
          <w:rFonts w:eastAsia="仿宋_GB2312"/>
          <w:color w:val="000000" w:themeColor="text1"/>
          <w:sz w:val="28"/>
          <w:szCs w:val="28"/>
        </w:rPr>
        <w:t>。</w:t>
      </w:r>
    </w:p>
    <w:p w14:paraId="6B32BFEB">
      <w:pPr>
        <w:spacing w:line="240" w:lineRule="auto"/>
        <w:jc w:val="center"/>
        <w:rPr>
          <w:rFonts w:hint="default" w:eastAsia="仿宋_GB2312" w:cs="Times New Roman"/>
          <w:color w:val="000000" w:themeColor="text1"/>
          <w:sz w:val="28"/>
          <w:szCs w:val="28"/>
          <w:lang w:val="en-US" w:eastAsia="zh-CN"/>
        </w:rPr>
      </w:pPr>
      <w:r>
        <w:rPr>
          <w:rFonts w:hint="default" w:eastAsia="仿宋_GB2312" w:cs="Times New Roman"/>
          <w:color w:val="000000" w:themeColor="text1"/>
          <w:sz w:val="28"/>
          <w:szCs w:val="28"/>
          <w:lang w:val="en-US" w:eastAsia="zh-CN"/>
        </w:rPr>
        <w:drawing>
          <wp:inline distT="0" distB="0" distL="114300" distR="114300">
            <wp:extent cx="6108065" cy="2462530"/>
            <wp:effectExtent l="0" t="0" r="6985" b="13970"/>
            <wp:docPr id="32" name="图片 3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19671">
      <w:pPr>
        <w:pStyle w:val="3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hint="eastAsia" w:ascii="Times New Roman" w:hAnsi="Times New Roman" w:cs="Times New Roman"/>
          <w:sz w:val="30"/>
          <w:szCs w:val="30"/>
          <w:lang w:val="en-US" w:eastAsia="zh-CN"/>
        </w:rPr>
      </w:pPr>
      <w:bookmarkStart w:id="11" w:name="_Toc366"/>
      <w:bookmarkStart w:id="12" w:name="_Toc18130"/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11. 设置两级制课程</w:t>
      </w:r>
      <w:bookmarkEnd w:id="11"/>
      <w:bookmarkEnd w:id="12"/>
    </w:p>
    <w:p w14:paraId="650CD073">
      <w:pPr>
        <w:spacing w:line="480" w:lineRule="exact"/>
        <w:ind w:firstLine="560" w:firstLineChars="200"/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  <w:t>自2026级本科生起在全校全面施行成绩等级制，</w:t>
      </w:r>
      <w:r>
        <w:rPr>
          <w:rFonts w:hint="eastAsia" w:eastAsia="仿宋_GB2312"/>
          <w:color w:val="000000" w:themeColor="text1"/>
          <w:sz w:val="28"/>
          <w:szCs w:val="28"/>
        </w:rPr>
        <w:t>系统有设置两级制</w:t>
      </w:r>
      <w:r>
        <w:rPr>
          <w:rFonts w:hint="eastAsia" w:eastAsia="仿宋_GB2312"/>
          <w:color w:val="000000" w:themeColor="text1"/>
          <w:sz w:val="28"/>
          <w:szCs w:val="28"/>
          <w:lang w:eastAsia="zh-CN"/>
        </w:rPr>
        <w:t>（P/NP）</w:t>
      </w:r>
      <w:r>
        <w:rPr>
          <w:rFonts w:hint="eastAsia" w:eastAsia="仿宋_GB2312"/>
          <w:color w:val="000000" w:themeColor="text1"/>
          <w:sz w:val="28"/>
          <w:szCs w:val="28"/>
        </w:rPr>
        <w:t>课程的功能</w:t>
      </w:r>
      <w:r>
        <w:rPr>
          <w:rFonts w:hint="eastAsia" w:eastAsia="仿宋_GB2312"/>
          <w:color w:val="000000" w:themeColor="text1"/>
          <w:sz w:val="28"/>
          <w:szCs w:val="28"/>
          <w:lang w:eastAsia="zh-CN"/>
        </w:rPr>
        <w:t>。</w:t>
      </w:r>
      <w:r>
        <w:rPr>
          <w:rFonts w:hint="eastAsia" w:eastAsia="仿宋_GB2312" w:cs="Times New Roman"/>
          <w:color w:val="000000" w:themeColor="text1"/>
          <w:sz w:val="28"/>
          <w:szCs w:val="28"/>
          <w:highlight w:val="none"/>
          <w:lang w:val="en-US" w:eastAsia="zh-CN"/>
        </w:rPr>
        <w:t>对于2026级及之后年级的学生，可在成功选上的选修课（含专选、公选）中自主选择哪些课程以P/NP形式记载成绩，学生正常学制内可选择以P/NP形式记载成绩的课程总计不超过12学分，同一学期最高不超过6学分。</w:t>
      </w:r>
    </w:p>
    <w:p w14:paraId="7D16AD69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在选课第一、第二阶段不允许设置两级制课程。</w:t>
      </w:r>
      <w:r>
        <w:rPr>
          <w:rFonts w:eastAsia="仿宋_GB2312"/>
          <w:b/>
          <w:bCs/>
          <w:color w:val="0000FF"/>
          <w:sz w:val="28"/>
          <w:szCs w:val="28"/>
        </w:rPr>
        <w:t>在选课第三、第四阶段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学生在</w:t>
      </w:r>
      <w:r>
        <w:rPr>
          <w:rFonts w:eastAsia="仿宋_GB2312"/>
          <w:b/>
          <w:bCs/>
          <w:color w:val="0000FF"/>
          <w:sz w:val="28"/>
          <w:szCs w:val="28"/>
        </w:rPr>
        <w:t>“已选课程”</w:t>
      </w:r>
      <w:r>
        <w:rPr>
          <w:rFonts w:eastAsia="仿宋_GB2312"/>
          <w:color w:val="000000" w:themeColor="text1"/>
          <w:sz w:val="28"/>
          <w:szCs w:val="28"/>
        </w:rPr>
        <w:t>页</w:t>
      </w:r>
      <w:r>
        <w:rPr>
          <w:rFonts w:hint="eastAsia" w:eastAsia="仿宋_GB2312"/>
          <w:color w:val="000000" w:themeColor="text1"/>
          <w:sz w:val="28"/>
          <w:szCs w:val="28"/>
        </w:rPr>
        <w:t>签下</w:t>
      </w:r>
      <w:r>
        <w:rPr>
          <w:rFonts w:eastAsia="仿宋_GB2312"/>
          <w:color w:val="000000" w:themeColor="text1"/>
          <w:sz w:val="28"/>
          <w:szCs w:val="28"/>
        </w:rPr>
        <w:t>将</w:t>
      </w:r>
      <w:r>
        <w:rPr>
          <w:rFonts w:hint="eastAsia" w:eastAsia="仿宋_GB2312"/>
          <w:color w:val="000000" w:themeColor="text1"/>
          <w:sz w:val="28"/>
          <w:szCs w:val="28"/>
        </w:rPr>
        <w:t>选课成功的、</w:t>
      </w:r>
      <w:r>
        <w:rPr>
          <w:rFonts w:eastAsia="仿宋_GB2312"/>
          <w:color w:val="000000" w:themeColor="text1"/>
          <w:sz w:val="28"/>
          <w:szCs w:val="28"/>
        </w:rPr>
        <w:t>课程类别为公选/专选的课程设置为两级制课程</w:t>
      </w:r>
      <w:r>
        <w:rPr>
          <w:rFonts w:hint="eastAsia" w:eastAsia="仿宋_GB2312"/>
          <w:color w:val="000000" w:themeColor="text1"/>
          <w:sz w:val="28"/>
          <w:szCs w:val="28"/>
        </w:rPr>
        <w:t>；</w:t>
      </w:r>
      <w:r>
        <w:rPr>
          <w:rFonts w:eastAsia="仿宋_GB2312"/>
          <w:color w:val="000000" w:themeColor="text1"/>
          <w:sz w:val="28"/>
          <w:szCs w:val="28"/>
        </w:rPr>
        <w:t>教学班本身设定为两级制成绩记</w:t>
      </w:r>
      <w:r>
        <w:rPr>
          <w:rFonts w:hint="eastAsia" w:eastAsia="仿宋_GB2312"/>
          <w:color w:val="000000" w:themeColor="text1"/>
          <w:sz w:val="28"/>
          <w:szCs w:val="28"/>
          <w:lang w:val="en-US" w:eastAsia="zh-CN"/>
        </w:rPr>
        <w:t>载</w:t>
      </w:r>
      <w:r>
        <w:rPr>
          <w:rFonts w:eastAsia="仿宋_GB2312"/>
          <w:color w:val="000000" w:themeColor="text1"/>
          <w:sz w:val="28"/>
          <w:szCs w:val="28"/>
        </w:rPr>
        <w:t>方式的，不占用学生选择</w:t>
      </w:r>
      <w:r>
        <w:rPr>
          <w:rFonts w:hint="eastAsia" w:eastAsia="仿宋_GB2312"/>
          <w:color w:val="000000" w:themeColor="text1"/>
          <w:sz w:val="28"/>
          <w:szCs w:val="28"/>
        </w:rPr>
        <w:t>机会</w:t>
      </w:r>
      <w:r>
        <w:rPr>
          <w:rFonts w:eastAsia="仿宋_GB2312"/>
          <w:color w:val="000000" w:themeColor="text1"/>
          <w:sz w:val="28"/>
          <w:szCs w:val="28"/>
        </w:rPr>
        <w:t>。选课期间内学生可自行选择或修改本人的两级制课程，选课结束即截止修改。如图：</w:t>
      </w:r>
    </w:p>
    <w:p w14:paraId="2320B2FB">
      <w:pPr>
        <w:jc w:val="center"/>
        <w:rPr>
          <w:rFonts w:ascii="等线 (正文)" w:hAnsi="等线 (正文)" w:eastAsia="等线 (正文)" w:cs="等线 (正文)"/>
          <w:szCs w:val="21"/>
        </w:rPr>
      </w:pPr>
      <w:r>
        <w:rPr>
          <w:rFonts w:hint="eastAsia" w:ascii="等线 (正文)" w:hAnsi="等线 (正文)" w:eastAsia="等线 (正文)" w:cs="等线 (正文)"/>
          <w:szCs w:val="21"/>
        </w:rPr>
        <w:drawing>
          <wp:inline distT="0" distB="0" distL="114300" distR="114300">
            <wp:extent cx="6061710" cy="2400300"/>
            <wp:effectExtent l="0" t="0" r="15240" b="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D4AE6">
      <w:pPr>
        <w:spacing w:line="480" w:lineRule="exact"/>
        <w:ind w:firstLine="562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b/>
          <w:bCs/>
          <w:color w:val="0000FF"/>
          <w:sz w:val="28"/>
          <w:szCs w:val="28"/>
        </w:rPr>
        <w:t>提醒：</w:t>
      </w:r>
      <w:r>
        <w:rPr>
          <w:rFonts w:eastAsia="仿宋_GB2312"/>
          <w:color w:val="000000" w:themeColor="text1"/>
          <w:sz w:val="28"/>
          <w:szCs w:val="28"/>
        </w:rPr>
        <w:t>学生若跨专业选修其他院系的专业必修课，并选择以P/NP形式记载成绩，后续如转入该专业，该课程应转换为专业必修课，且该课程成绩按以下规则转换：P等级对应70分（等级C，绩点2.3），NP等级对应59分（等级F，绩点0），计入平均学分绩点。有转专业意向的学生应充分知晓该规则，对跨专业选修其他院系的专业必修课程，须审慎选择以P/NP形式记载成绩。</w:t>
      </w:r>
    </w:p>
    <w:p w14:paraId="235A7B99">
      <w:pPr>
        <w:spacing w:line="480" w:lineRule="exact"/>
        <w:ind w:firstLine="560" w:firstLineChars="200"/>
        <w:rPr>
          <w:rFonts w:hint="default" w:eastAsia="仿宋_GB2312" w:cs="Times New Roman"/>
          <w:color w:val="000000" w:themeColor="text1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(正文)">
    <w:altName w:val="等线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954079"/>
    </w:sdtPr>
    <w:sdtContent>
      <w:p w14:paraId="52AA646E">
        <w:pPr>
          <w:pStyle w:val="1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371FBA27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72442"/>
    <w:multiLevelType w:val="multilevel"/>
    <w:tmpl w:val="5B772442"/>
    <w:lvl w:ilvl="0" w:tentative="0">
      <w:start w:val="1"/>
      <w:numFmt w:val="chineseCountingThousand"/>
      <w:pStyle w:val="2"/>
      <w:suff w:val="nothing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2-%3 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hNTllZjVjM2QyOGM3ZDdmODdkMThjOTBmODc0MzQifQ=="/>
  </w:docVars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2787"/>
    <w:rsid w:val="00034870"/>
    <w:rsid w:val="00037F65"/>
    <w:rsid w:val="00061142"/>
    <w:rsid w:val="00062126"/>
    <w:rsid w:val="0007032D"/>
    <w:rsid w:val="00071B5C"/>
    <w:rsid w:val="000721ED"/>
    <w:rsid w:val="0007558D"/>
    <w:rsid w:val="00083E3E"/>
    <w:rsid w:val="000908DB"/>
    <w:rsid w:val="00091933"/>
    <w:rsid w:val="00095331"/>
    <w:rsid w:val="000A0347"/>
    <w:rsid w:val="000A303A"/>
    <w:rsid w:val="000B53BD"/>
    <w:rsid w:val="000D0992"/>
    <w:rsid w:val="000D24A5"/>
    <w:rsid w:val="000D792E"/>
    <w:rsid w:val="000E305D"/>
    <w:rsid w:val="000F0992"/>
    <w:rsid w:val="000F37EA"/>
    <w:rsid w:val="00101389"/>
    <w:rsid w:val="00120B34"/>
    <w:rsid w:val="00121ECE"/>
    <w:rsid w:val="001253D9"/>
    <w:rsid w:val="001259C0"/>
    <w:rsid w:val="00144797"/>
    <w:rsid w:val="00150070"/>
    <w:rsid w:val="00150106"/>
    <w:rsid w:val="001531F8"/>
    <w:rsid w:val="0016068B"/>
    <w:rsid w:val="00175E47"/>
    <w:rsid w:val="0017786F"/>
    <w:rsid w:val="00182FD8"/>
    <w:rsid w:val="0019056D"/>
    <w:rsid w:val="001932B9"/>
    <w:rsid w:val="001A273B"/>
    <w:rsid w:val="001A3986"/>
    <w:rsid w:val="001B6DEF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2712E"/>
    <w:rsid w:val="00232EE0"/>
    <w:rsid w:val="0023731E"/>
    <w:rsid w:val="00242FEF"/>
    <w:rsid w:val="00245EF4"/>
    <w:rsid w:val="002518E0"/>
    <w:rsid w:val="00253CFC"/>
    <w:rsid w:val="00255322"/>
    <w:rsid w:val="002643A1"/>
    <w:rsid w:val="00264AC7"/>
    <w:rsid w:val="002705C5"/>
    <w:rsid w:val="0027192D"/>
    <w:rsid w:val="0028388E"/>
    <w:rsid w:val="00293727"/>
    <w:rsid w:val="002A410A"/>
    <w:rsid w:val="002B1EEC"/>
    <w:rsid w:val="002B2681"/>
    <w:rsid w:val="002B5937"/>
    <w:rsid w:val="002B5D51"/>
    <w:rsid w:val="002C1134"/>
    <w:rsid w:val="002C4344"/>
    <w:rsid w:val="002C5B7F"/>
    <w:rsid w:val="002C7E09"/>
    <w:rsid w:val="002D27E1"/>
    <w:rsid w:val="002D7C8A"/>
    <w:rsid w:val="002E72C7"/>
    <w:rsid w:val="002F5CF8"/>
    <w:rsid w:val="002F6165"/>
    <w:rsid w:val="002F6FDD"/>
    <w:rsid w:val="00321957"/>
    <w:rsid w:val="003351A8"/>
    <w:rsid w:val="00336B95"/>
    <w:rsid w:val="00355B72"/>
    <w:rsid w:val="00355ECC"/>
    <w:rsid w:val="00366399"/>
    <w:rsid w:val="00375CAA"/>
    <w:rsid w:val="00380268"/>
    <w:rsid w:val="00382765"/>
    <w:rsid w:val="003860B8"/>
    <w:rsid w:val="00391E3B"/>
    <w:rsid w:val="003937F2"/>
    <w:rsid w:val="00393D2C"/>
    <w:rsid w:val="003941FB"/>
    <w:rsid w:val="003A01CE"/>
    <w:rsid w:val="003A4844"/>
    <w:rsid w:val="003C0730"/>
    <w:rsid w:val="003C4BC9"/>
    <w:rsid w:val="003C6B21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018F"/>
    <w:rsid w:val="00421E82"/>
    <w:rsid w:val="004221D9"/>
    <w:rsid w:val="0043513C"/>
    <w:rsid w:val="00437897"/>
    <w:rsid w:val="00451B9A"/>
    <w:rsid w:val="00463533"/>
    <w:rsid w:val="00466AB7"/>
    <w:rsid w:val="00483A87"/>
    <w:rsid w:val="00484263"/>
    <w:rsid w:val="0048554D"/>
    <w:rsid w:val="004864C1"/>
    <w:rsid w:val="0049041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3B7E"/>
    <w:rsid w:val="004C4796"/>
    <w:rsid w:val="004C4B05"/>
    <w:rsid w:val="004C4CA8"/>
    <w:rsid w:val="004C6EA2"/>
    <w:rsid w:val="004C7776"/>
    <w:rsid w:val="004E0458"/>
    <w:rsid w:val="005013DF"/>
    <w:rsid w:val="005040DF"/>
    <w:rsid w:val="00505615"/>
    <w:rsid w:val="0050563A"/>
    <w:rsid w:val="0051333B"/>
    <w:rsid w:val="00526F71"/>
    <w:rsid w:val="00532AF1"/>
    <w:rsid w:val="00540A22"/>
    <w:rsid w:val="005528C4"/>
    <w:rsid w:val="005541E7"/>
    <w:rsid w:val="00570D62"/>
    <w:rsid w:val="005830B6"/>
    <w:rsid w:val="005832CB"/>
    <w:rsid w:val="005920DD"/>
    <w:rsid w:val="00594558"/>
    <w:rsid w:val="005A32B8"/>
    <w:rsid w:val="005C1D5F"/>
    <w:rsid w:val="005C3CFB"/>
    <w:rsid w:val="005C45D6"/>
    <w:rsid w:val="005D24FD"/>
    <w:rsid w:val="005D385F"/>
    <w:rsid w:val="005D5128"/>
    <w:rsid w:val="005D7D00"/>
    <w:rsid w:val="005E0FE0"/>
    <w:rsid w:val="005E2528"/>
    <w:rsid w:val="005F1193"/>
    <w:rsid w:val="005F568D"/>
    <w:rsid w:val="005F7C87"/>
    <w:rsid w:val="006050B9"/>
    <w:rsid w:val="0061478D"/>
    <w:rsid w:val="00616AFF"/>
    <w:rsid w:val="00617F56"/>
    <w:rsid w:val="00623D85"/>
    <w:rsid w:val="006310DC"/>
    <w:rsid w:val="00633084"/>
    <w:rsid w:val="00634053"/>
    <w:rsid w:val="00645EA9"/>
    <w:rsid w:val="00653B72"/>
    <w:rsid w:val="00653D49"/>
    <w:rsid w:val="00670989"/>
    <w:rsid w:val="00671002"/>
    <w:rsid w:val="00671539"/>
    <w:rsid w:val="00675611"/>
    <w:rsid w:val="00676665"/>
    <w:rsid w:val="006776DF"/>
    <w:rsid w:val="0067793D"/>
    <w:rsid w:val="00677AFB"/>
    <w:rsid w:val="00684236"/>
    <w:rsid w:val="00684935"/>
    <w:rsid w:val="0068506A"/>
    <w:rsid w:val="00685B46"/>
    <w:rsid w:val="00691350"/>
    <w:rsid w:val="00692FE2"/>
    <w:rsid w:val="00695A36"/>
    <w:rsid w:val="00695B8E"/>
    <w:rsid w:val="006A0B06"/>
    <w:rsid w:val="006A1CA9"/>
    <w:rsid w:val="006A3127"/>
    <w:rsid w:val="006A3222"/>
    <w:rsid w:val="006A4055"/>
    <w:rsid w:val="006B219E"/>
    <w:rsid w:val="006B6802"/>
    <w:rsid w:val="006C284D"/>
    <w:rsid w:val="006D23E7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2106"/>
    <w:rsid w:val="0071324A"/>
    <w:rsid w:val="00714BD6"/>
    <w:rsid w:val="00721197"/>
    <w:rsid w:val="00722610"/>
    <w:rsid w:val="0072727B"/>
    <w:rsid w:val="0073222E"/>
    <w:rsid w:val="00743140"/>
    <w:rsid w:val="00743B0D"/>
    <w:rsid w:val="00747EF5"/>
    <w:rsid w:val="00750375"/>
    <w:rsid w:val="00755EF9"/>
    <w:rsid w:val="00761211"/>
    <w:rsid w:val="00763682"/>
    <w:rsid w:val="0077460C"/>
    <w:rsid w:val="007900BD"/>
    <w:rsid w:val="00795981"/>
    <w:rsid w:val="0079741A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271F8"/>
    <w:rsid w:val="00831287"/>
    <w:rsid w:val="0083483A"/>
    <w:rsid w:val="0083633D"/>
    <w:rsid w:val="00836887"/>
    <w:rsid w:val="0084665D"/>
    <w:rsid w:val="0084701B"/>
    <w:rsid w:val="00853D20"/>
    <w:rsid w:val="00862A09"/>
    <w:rsid w:val="00865125"/>
    <w:rsid w:val="00867EA2"/>
    <w:rsid w:val="008907DF"/>
    <w:rsid w:val="00896745"/>
    <w:rsid w:val="008A15E4"/>
    <w:rsid w:val="008A7914"/>
    <w:rsid w:val="008D11F1"/>
    <w:rsid w:val="008D3BC8"/>
    <w:rsid w:val="008D4180"/>
    <w:rsid w:val="008D6F22"/>
    <w:rsid w:val="008D745A"/>
    <w:rsid w:val="008D7665"/>
    <w:rsid w:val="008D7A2F"/>
    <w:rsid w:val="008E2B4D"/>
    <w:rsid w:val="008E3353"/>
    <w:rsid w:val="008E47BC"/>
    <w:rsid w:val="008E5AB0"/>
    <w:rsid w:val="008E7F46"/>
    <w:rsid w:val="008F228F"/>
    <w:rsid w:val="008F40D4"/>
    <w:rsid w:val="009015CA"/>
    <w:rsid w:val="00902299"/>
    <w:rsid w:val="00905FDA"/>
    <w:rsid w:val="00906BA7"/>
    <w:rsid w:val="00912C2D"/>
    <w:rsid w:val="0091474D"/>
    <w:rsid w:val="009153EC"/>
    <w:rsid w:val="0093215D"/>
    <w:rsid w:val="009326E6"/>
    <w:rsid w:val="0093393D"/>
    <w:rsid w:val="009348B5"/>
    <w:rsid w:val="00936939"/>
    <w:rsid w:val="00940634"/>
    <w:rsid w:val="0094358B"/>
    <w:rsid w:val="00954293"/>
    <w:rsid w:val="00957068"/>
    <w:rsid w:val="00957A61"/>
    <w:rsid w:val="00967582"/>
    <w:rsid w:val="009748AB"/>
    <w:rsid w:val="009824DD"/>
    <w:rsid w:val="00992714"/>
    <w:rsid w:val="00992AFA"/>
    <w:rsid w:val="00992E72"/>
    <w:rsid w:val="009B4DFB"/>
    <w:rsid w:val="009C1C6B"/>
    <w:rsid w:val="009C4EFB"/>
    <w:rsid w:val="009C6F52"/>
    <w:rsid w:val="009D001F"/>
    <w:rsid w:val="009D1445"/>
    <w:rsid w:val="009D268F"/>
    <w:rsid w:val="009D75A9"/>
    <w:rsid w:val="009E01B8"/>
    <w:rsid w:val="009E16A2"/>
    <w:rsid w:val="009E25F5"/>
    <w:rsid w:val="009E2CCB"/>
    <w:rsid w:val="009E6A9A"/>
    <w:rsid w:val="00A02A3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96523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AF5507"/>
    <w:rsid w:val="00B03431"/>
    <w:rsid w:val="00B218D1"/>
    <w:rsid w:val="00B21D5C"/>
    <w:rsid w:val="00B24732"/>
    <w:rsid w:val="00B24AE1"/>
    <w:rsid w:val="00B36BF6"/>
    <w:rsid w:val="00B420C4"/>
    <w:rsid w:val="00B42905"/>
    <w:rsid w:val="00B43EF2"/>
    <w:rsid w:val="00B4566C"/>
    <w:rsid w:val="00B476AE"/>
    <w:rsid w:val="00B479FA"/>
    <w:rsid w:val="00B50293"/>
    <w:rsid w:val="00B50E57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03F9"/>
    <w:rsid w:val="00BF0808"/>
    <w:rsid w:val="00BF180E"/>
    <w:rsid w:val="00BF25DF"/>
    <w:rsid w:val="00BF4832"/>
    <w:rsid w:val="00BF4F65"/>
    <w:rsid w:val="00C1337B"/>
    <w:rsid w:val="00C1423C"/>
    <w:rsid w:val="00C178D0"/>
    <w:rsid w:val="00C2280F"/>
    <w:rsid w:val="00C30EE2"/>
    <w:rsid w:val="00C3508F"/>
    <w:rsid w:val="00C378D3"/>
    <w:rsid w:val="00C40D7F"/>
    <w:rsid w:val="00C447E6"/>
    <w:rsid w:val="00C45DCA"/>
    <w:rsid w:val="00C511DF"/>
    <w:rsid w:val="00C5467C"/>
    <w:rsid w:val="00C62D52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21CF"/>
    <w:rsid w:val="00CB48BE"/>
    <w:rsid w:val="00CB5380"/>
    <w:rsid w:val="00CB5D88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58DE"/>
    <w:rsid w:val="00CF6A8F"/>
    <w:rsid w:val="00D0765F"/>
    <w:rsid w:val="00D13BFB"/>
    <w:rsid w:val="00D13F26"/>
    <w:rsid w:val="00D20A62"/>
    <w:rsid w:val="00D26DB4"/>
    <w:rsid w:val="00D3739A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1C0C"/>
    <w:rsid w:val="00DA7B86"/>
    <w:rsid w:val="00DB2501"/>
    <w:rsid w:val="00DB38E6"/>
    <w:rsid w:val="00DB43EA"/>
    <w:rsid w:val="00DB508D"/>
    <w:rsid w:val="00DB752A"/>
    <w:rsid w:val="00DC087B"/>
    <w:rsid w:val="00DC2A63"/>
    <w:rsid w:val="00DC2DBD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1591D"/>
    <w:rsid w:val="00E24C8C"/>
    <w:rsid w:val="00E2744A"/>
    <w:rsid w:val="00E40557"/>
    <w:rsid w:val="00E510F3"/>
    <w:rsid w:val="00E556DC"/>
    <w:rsid w:val="00E647A5"/>
    <w:rsid w:val="00E749FC"/>
    <w:rsid w:val="00E74DC7"/>
    <w:rsid w:val="00E77393"/>
    <w:rsid w:val="00E80010"/>
    <w:rsid w:val="00E80782"/>
    <w:rsid w:val="00E81CC1"/>
    <w:rsid w:val="00E8392E"/>
    <w:rsid w:val="00E83E57"/>
    <w:rsid w:val="00E85BEF"/>
    <w:rsid w:val="00EA1BDF"/>
    <w:rsid w:val="00EA3772"/>
    <w:rsid w:val="00EA7E04"/>
    <w:rsid w:val="00EB235C"/>
    <w:rsid w:val="00EB5A87"/>
    <w:rsid w:val="00EB73D5"/>
    <w:rsid w:val="00EC01A4"/>
    <w:rsid w:val="00EC121C"/>
    <w:rsid w:val="00EC5311"/>
    <w:rsid w:val="00ED0E5C"/>
    <w:rsid w:val="00EE2311"/>
    <w:rsid w:val="00EE5E05"/>
    <w:rsid w:val="00EF183E"/>
    <w:rsid w:val="00EF333F"/>
    <w:rsid w:val="00F14716"/>
    <w:rsid w:val="00F3385C"/>
    <w:rsid w:val="00F410E3"/>
    <w:rsid w:val="00F416C7"/>
    <w:rsid w:val="00F509D7"/>
    <w:rsid w:val="00F529E3"/>
    <w:rsid w:val="00F57510"/>
    <w:rsid w:val="00F6553A"/>
    <w:rsid w:val="00F664CF"/>
    <w:rsid w:val="00F73164"/>
    <w:rsid w:val="00F74B01"/>
    <w:rsid w:val="00F77596"/>
    <w:rsid w:val="00F8549D"/>
    <w:rsid w:val="00F91757"/>
    <w:rsid w:val="00F92DD4"/>
    <w:rsid w:val="00F9343F"/>
    <w:rsid w:val="00F94A46"/>
    <w:rsid w:val="00F95623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011253ED"/>
    <w:rsid w:val="025D3117"/>
    <w:rsid w:val="04D56E5D"/>
    <w:rsid w:val="05465FAD"/>
    <w:rsid w:val="06B07B82"/>
    <w:rsid w:val="08171804"/>
    <w:rsid w:val="094923E9"/>
    <w:rsid w:val="097445C3"/>
    <w:rsid w:val="0A886EEF"/>
    <w:rsid w:val="0AD82360"/>
    <w:rsid w:val="0C4274CE"/>
    <w:rsid w:val="0CC05193"/>
    <w:rsid w:val="0D205C25"/>
    <w:rsid w:val="0E7C59F6"/>
    <w:rsid w:val="0FA83AEC"/>
    <w:rsid w:val="107240FA"/>
    <w:rsid w:val="112C24FB"/>
    <w:rsid w:val="15322583"/>
    <w:rsid w:val="15A44D56"/>
    <w:rsid w:val="16C70F3D"/>
    <w:rsid w:val="17FB2C27"/>
    <w:rsid w:val="192F0DDA"/>
    <w:rsid w:val="1A784778"/>
    <w:rsid w:val="1A8E7D82"/>
    <w:rsid w:val="1BD9327F"/>
    <w:rsid w:val="1C033E58"/>
    <w:rsid w:val="1CF30B2D"/>
    <w:rsid w:val="1E200CF1"/>
    <w:rsid w:val="1E5A233A"/>
    <w:rsid w:val="1FC93481"/>
    <w:rsid w:val="205630F0"/>
    <w:rsid w:val="20832045"/>
    <w:rsid w:val="21997739"/>
    <w:rsid w:val="21F42BC1"/>
    <w:rsid w:val="21FC7CC7"/>
    <w:rsid w:val="22D629CA"/>
    <w:rsid w:val="26E41730"/>
    <w:rsid w:val="27593672"/>
    <w:rsid w:val="29100495"/>
    <w:rsid w:val="29915199"/>
    <w:rsid w:val="2C194F20"/>
    <w:rsid w:val="2D4879D7"/>
    <w:rsid w:val="2EC658E5"/>
    <w:rsid w:val="301601A6"/>
    <w:rsid w:val="301D6ECC"/>
    <w:rsid w:val="31F6028F"/>
    <w:rsid w:val="346516FC"/>
    <w:rsid w:val="348D4995"/>
    <w:rsid w:val="37247871"/>
    <w:rsid w:val="379F0752"/>
    <w:rsid w:val="38710670"/>
    <w:rsid w:val="390A2872"/>
    <w:rsid w:val="39741957"/>
    <w:rsid w:val="39CF19EF"/>
    <w:rsid w:val="3C871325"/>
    <w:rsid w:val="3CFC2D60"/>
    <w:rsid w:val="3DA5575C"/>
    <w:rsid w:val="3E79782A"/>
    <w:rsid w:val="3E971D9A"/>
    <w:rsid w:val="3F696545"/>
    <w:rsid w:val="40C074A7"/>
    <w:rsid w:val="42415ACC"/>
    <w:rsid w:val="43660454"/>
    <w:rsid w:val="436F39FE"/>
    <w:rsid w:val="46EC54FA"/>
    <w:rsid w:val="47D93B3C"/>
    <w:rsid w:val="48C452AA"/>
    <w:rsid w:val="49CB3958"/>
    <w:rsid w:val="4A3C51B1"/>
    <w:rsid w:val="4CC56D84"/>
    <w:rsid w:val="4D3006A2"/>
    <w:rsid w:val="4FD03922"/>
    <w:rsid w:val="50EF2622"/>
    <w:rsid w:val="52046E9E"/>
    <w:rsid w:val="534926A9"/>
    <w:rsid w:val="553F741C"/>
    <w:rsid w:val="565F7902"/>
    <w:rsid w:val="57081D47"/>
    <w:rsid w:val="57403A2F"/>
    <w:rsid w:val="57E14C71"/>
    <w:rsid w:val="5889510A"/>
    <w:rsid w:val="5A8E3A87"/>
    <w:rsid w:val="5AA955EF"/>
    <w:rsid w:val="5D08326C"/>
    <w:rsid w:val="5D835371"/>
    <w:rsid w:val="5E8B1BDC"/>
    <w:rsid w:val="60B45147"/>
    <w:rsid w:val="62AB702A"/>
    <w:rsid w:val="63936E3D"/>
    <w:rsid w:val="642B2624"/>
    <w:rsid w:val="64605EB8"/>
    <w:rsid w:val="65A6554D"/>
    <w:rsid w:val="671464E6"/>
    <w:rsid w:val="672C3F89"/>
    <w:rsid w:val="67BD26DA"/>
    <w:rsid w:val="6D15590F"/>
    <w:rsid w:val="6E3408A6"/>
    <w:rsid w:val="720D425E"/>
    <w:rsid w:val="72F97D00"/>
    <w:rsid w:val="748E5B2A"/>
    <w:rsid w:val="75A1572C"/>
    <w:rsid w:val="75BF3AC1"/>
    <w:rsid w:val="762878B8"/>
    <w:rsid w:val="768E4ADE"/>
    <w:rsid w:val="77E91CEE"/>
    <w:rsid w:val="7C5036C5"/>
    <w:rsid w:val="7CBF234F"/>
    <w:rsid w:val="7CD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0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numPr>
        <w:ilvl w:val="0"/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3">
    <w:name w:val="heading 2"/>
    <w:basedOn w:val="1"/>
    <w:next w:val="1"/>
    <w:link w:val="28"/>
    <w:qFormat/>
    <w:uiPriority w:val="9"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hAnsi="Cambria" w:eastAsia="微软雅黑"/>
      <w:bCs/>
      <w:sz w:val="32"/>
      <w:szCs w:val="32"/>
    </w:rPr>
  </w:style>
  <w:style w:type="paragraph" w:styleId="4">
    <w:name w:val="heading 3"/>
    <w:basedOn w:val="1"/>
    <w:next w:val="1"/>
    <w:link w:val="29"/>
    <w:qFormat/>
    <w:uiPriority w:val="9"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5">
    <w:name w:val="heading 4"/>
    <w:basedOn w:val="1"/>
    <w:next w:val="1"/>
    <w:link w:val="30"/>
    <w:qFormat/>
    <w:uiPriority w:val="9"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1"/>
    <w:qFormat/>
    <w:uiPriority w:val="9"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qFormat/>
    <w:uiPriority w:val="0"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33"/>
    <w:qFormat/>
    <w:uiPriority w:val="9"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4"/>
    <w:qFormat/>
    <w:uiPriority w:val="9"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10">
    <w:name w:val="heading 9"/>
    <w:basedOn w:val="1"/>
    <w:next w:val="1"/>
    <w:link w:val="35"/>
    <w:qFormat/>
    <w:uiPriority w:val="9"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semiHidden/>
    <w:qFormat/>
    <w:uiPriority w:val="0"/>
    <w:pPr>
      <w:shd w:val="clear" w:color="auto" w:fill="000080"/>
    </w:pPr>
  </w:style>
  <w:style w:type="paragraph" w:styleId="12">
    <w:name w:val="annotation text"/>
    <w:basedOn w:val="1"/>
    <w:semiHidden/>
    <w:unhideWhenUsed/>
    <w:uiPriority w:val="0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24"/>
    <w:qFormat/>
    <w:uiPriority w:val="0"/>
    <w:rPr>
      <w:sz w:val="18"/>
      <w:szCs w:val="18"/>
    </w:rPr>
  </w:style>
  <w:style w:type="paragraph" w:styleId="15">
    <w:name w:val="footer"/>
    <w:basedOn w:val="1"/>
    <w:link w:val="2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5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18">
    <w:name w:val="toc 2"/>
    <w:basedOn w:val="1"/>
    <w:next w:val="1"/>
    <w:autoRedefine/>
    <w:unhideWhenUsed/>
    <w:qFormat/>
    <w:uiPriority w:val="39"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20">
    <w:name w:val="Table Grid"/>
    <w:basedOn w:val="1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FollowedHyperlink"/>
    <w:basedOn w:val="21"/>
    <w:autoRedefine/>
    <w:qFormat/>
    <w:uiPriority w:val="0"/>
    <w:rPr>
      <w:color w:val="954F72" w:themeColor="followedHyperlink"/>
      <w:u w:val="single"/>
    </w:rPr>
  </w:style>
  <w:style w:type="character" w:styleId="23">
    <w:name w:val="Hyperlink"/>
    <w:autoRedefine/>
    <w:qFormat/>
    <w:uiPriority w:val="99"/>
    <w:rPr>
      <w:color w:val="0000FF"/>
      <w:u w:val="single"/>
    </w:rPr>
  </w:style>
  <w:style w:type="character" w:customStyle="1" w:styleId="24">
    <w:name w:val="批注框文本 字符"/>
    <w:basedOn w:val="21"/>
    <w:link w:val="14"/>
    <w:autoRedefine/>
    <w:qFormat/>
    <w:uiPriority w:val="0"/>
    <w:rPr>
      <w:kern w:val="2"/>
      <w:sz w:val="18"/>
      <w:szCs w:val="18"/>
    </w:rPr>
  </w:style>
  <w:style w:type="character" w:customStyle="1" w:styleId="25">
    <w:name w:val="页眉 字符"/>
    <w:link w:val="16"/>
    <w:autoRedefine/>
    <w:qFormat/>
    <w:uiPriority w:val="99"/>
    <w:rPr>
      <w:kern w:val="2"/>
      <w:sz w:val="18"/>
      <w:szCs w:val="18"/>
    </w:rPr>
  </w:style>
  <w:style w:type="character" w:customStyle="1" w:styleId="26">
    <w:name w:val="页脚 字符"/>
    <w:link w:val="15"/>
    <w:autoRedefine/>
    <w:qFormat/>
    <w:uiPriority w:val="99"/>
    <w:rPr>
      <w:kern w:val="2"/>
      <w:sz w:val="18"/>
      <w:szCs w:val="18"/>
    </w:rPr>
  </w:style>
  <w:style w:type="character" w:customStyle="1" w:styleId="27">
    <w:name w:val="标题 1 字符"/>
    <w:link w:val="2"/>
    <w:autoRedefine/>
    <w:qFormat/>
    <w:uiPriority w:val="9"/>
    <w:rPr>
      <w:rFonts w:eastAsia="微软雅黑"/>
      <w:bCs/>
      <w:kern w:val="44"/>
      <w:sz w:val="36"/>
      <w:szCs w:val="44"/>
    </w:rPr>
  </w:style>
  <w:style w:type="character" w:customStyle="1" w:styleId="28">
    <w:name w:val="标题 2 字符"/>
    <w:link w:val="3"/>
    <w:autoRedefine/>
    <w:qFormat/>
    <w:uiPriority w:val="9"/>
    <w:rPr>
      <w:rFonts w:ascii="Cambria" w:hAnsi="Cambria" w:eastAsia="微软雅黑"/>
      <w:bCs/>
      <w:kern w:val="2"/>
      <w:sz w:val="32"/>
      <w:szCs w:val="32"/>
      <w:lang w:eastAsia="zh-CN"/>
    </w:rPr>
  </w:style>
  <w:style w:type="character" w:customStyle="1" w:styleId="29">
    <w:name w:val="标题 3 字符"/>
    <w:link w:val="4"/>
    <w:autoRedefine/>
    <w:qFormat/>
    <w:uiPriority w:val="9"/>
    <w:rPr>
      <w:rFonts w:eastAsia="微软雅黑"/>
      <w:bCs/>
      <w:kern w:val="2"/>
      <w:sz w:val="30"/>
      <w:szCs w:val="32"/>
    </w:rPr>
  </w:style>
  <w:style w:type="character" w:customStyle="1" w:styleId="30">
    <w:name w:val="标题 4 字符"/>
    <w:link w:val="5"/>
    <w:autoRedefine/>
    <w:semiHidden/>
    <w:qFormat/>
    <w:uiPriority w:val="9"/>
    <w:rPr>
      <w:rFonts w:ascii="Cambria" w:hAnsi="Cambria"/>
      <w:b/>
      <w:bCs/>
      <w:kern w:val="2"/>
      <w:sz w:val="28"/>
      <w:szCs w:val="28"/>
    </w:rPr>
  </w:style>
  <w:style w:type="character" w:customStyle="1" w:styleId="31">
    <w:name w:val="标题 5 字符"/>
    <w:link w:val="6"/>
    <w:autoRedefine/>
    <w:semiHidden/>
    <w:qFormat/>
    <w:uiPriority w:val="9"/>
    <w:rPr>
      <w:b/>
      <w:bCs/>
      <w:kern w:val="2"/>
      <w:sz w:val="28"/>
      <w:szCs w:val="28"/>
    </w:rPr>
  </w:style>
  <w:style w:type="character" w:customStyle="1" w:styleId="32">
    <w:name w:val="标题 6 字符"/>
    <w:link w:val="7"/>
    <w:autoRedefine/>
    <w:semiHidden/>
    <w:qFormat/>
    <w:uiPriority w:val="9"/>
    <w:rPr>
      <w:rFonts w:ascii="Cambria" w:hAnsi="Cambria"/>
      <w:b/>
      <w:bCs/>
      <w:kern w:val="2"/>
      <w:sz w:val="24"/>
      <w:szCs w:val="24"/>
    </w:rPr>
  </w:style>
  <w:style w:type="character" w:customStyle="1" w:styleId="33">
    <w:name w:val="标题 7 字符"/>
    <w:link w:val="8"/>
    <w:autoRedefine/>
    <w:semiHidden/>
    <w:qFormat/>
    <w:uiPriority w:val="9"/>
    <w:rPr>
      <w:b/>
      <w:bCs/>
      <w:kern w:val="2"/>
      <w:sz w:val="24"/>
      <w:szCs w:val="24"/>
    </w:rPr>
  </w:style>
  <w:style w:type="character" w:customStyle="1" w:styleId="34">
    <w:name w:val="标题 8 字符"/>
    <w:link w:val="9"/>
    <w:autoRedefine/>
    <w:semiHidden/>
    <w:qFormat/>
    <w:uiPriority w:val="9"/>
    <w:rPr>
      <w:rFonts w:ascii="Cambria" w:hAnsi="Cambria"/>
      <w:kern w:val="2"/>
      <w:sz w:val="24"/>
      <w:szCs w:val="24"/>
    </w:rPr>
  </w:style>
  <w:style w:type="character" w:customStyle="1" w:styleId="35">
    <w:name w:val="标题 9 字符"/>
    <w:link w:val="10"/>
    <w:autoRedefine/>
    <w:semiHidden/>
    <w:qFormat/>
    <w:uiPriority w:val="9"/>
    <w:rPr>
      <w:rFonts w:ascii="Cambria" w:hAnsi="Cambria"/>
      <w:kern w:val="2"/>
      <w:sz w:val="21"/>
      <w:szCs w:val="21"/>
    </w:rPr>
  </w:style>
  <w:style w:type="paragraph" w:styleId="36">
    <w:name w:val="List Paragraph"/>
    <w:basedOn w:val="1"/>
    <w:autoRedefine/>
    <w:qFormat/>
    <w:uiPriority w:val="34"/>
    <w:pPr>
      <w:spacing w:after="100" w:afterAutospacing="1" w:line="360" w:lineRule="auto"/>
      <w:ind w:firstLine="420" w:firstLineChars="200"/>
    </w:pPr>
    <w:rPr>
      <w:sz w:val="24"/>
    </w:rPr>
  </w:style>
  <w:style w:type="paragraph" w:customStyle="1" w:styleId="37">
    <w:name w:val="l标题4"/>
    <w:basedOn w:val="5"/>
    <w:next w:val="1"/>
    <w:autoRedefine/>
    <w:qFormat/>
    <w:uiPriority w:val="0"/>
    <w:pPr>
      <w:spacing w:before="120" w:after="120" w:afterAutospacing="0"/>
      <w:ind w:left="567" w:right="210" w:rightChars="100" w:hanging="227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png"/><Relationship Id="rId7" Type="http://schemas.openxmlformats.org/officeDocument/2006/relationships/image" Target="media/image3.tiff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numbering" Target="numbering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jpe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tiff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7BE59-8A8A-439B-A637-6D538F6E5C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2569</Words>
  <Characters>2694</Characters>
  <Lines>18</Lines>
  <Paragraphs>5</Paragraphs>
  <TotalTime>5</TotalTime>
  <ScaleCrop>false</ScaleCrop>
  <LinksUpToDate>false</LinksUpToDate>
  <CharactersWithSpaces>2736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2019-08-30T03:55:00Z</dcterms:created>
  <dc:creator>微软用户</dc:creator>
  <cp:lastModifiedBy>LQY</cp:lastModifiedBy>
  <cp:lastPrinted>2020-09-10T07:27:00Z</cp:lastPrinted>
  <dcterms:modified xsi:type="dcterms:W3CDTF">2026-08-14T04:14:41Z</dcterms:modified>
  <dc:title>学生选课系统使用手册</dc:title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E4F9F21D6D6A47EEA27A073FC3D5A3FD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